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A4" w:rsidRDefault="00EE1BA4"/>
    <w:p w:rsidR="002E3C70" w:rsidRPr="000F69E3" w:rsidRDefault="00EC3E72" w:rsidP="00B9392F">
      <w:pPr>
        <w:jc w:val="center"/>
        <w:rPr>
          <w:b/>
          <w:sz w:val="32"/>
          <w:szCs w:val="32"/>
        </w:rPr>
      </w:pPr>
      <w:r w:rsidRPr="000F69E3">
        <w:rPr>
          <w:b/>
          <w:sz w:val="32"/>
          <w:szCs w:val="32"/>
        </w:rPr>
        <w:t>All Students, All Standards: Instructional Strategies Institute</w:t>
      </w:r>
      <w:r w:rsidR="00970E7B" w:rsidRPr="000F69E3">
        <w:rPr>
          <w:b/>
          <w:sz w:val="32"/>
          <w:szCs w:val="32"/>
        </w:rPr>
        <w:t xml:space="preserve"> </w:t>
      </w:r>
      <w:r w:rsidR="00B9392F" w:rsidRPr="000F69E3">
        <w:rPr>
          <w:b/>
          <w:sz w:val="32"/>
          <w:szCs w:val="32"/>
        </w:rPr>
        <w:br/>
      </w:r>
      <w:proofErr w:type="gramStart"/>
      <w:r w:rsidR="00B9392F" w:rsidRPr="000F69E3">
        <w:rPr>
          <w:b/>
          <w:sz w:val="32"/>
          <w:szCs w:val="32"/>
        </w:rPr>
        <w:t>The</w:t>
      </w:r>
      <w:proofErr w:type="gramEnd"/>
      <w:r w:rsidR="00B9392F" w:rsidRPr="000F69E3">
        <w:rPr>
          <w:b/>
          <w:sz w:val="32"/>
          <w:szCs w:val="32"/>
        </w:rPr>
        <w:t xml:space="preserve"> Six </w:t>
      </w:r>
      <w:r w:rsidR="002E3C70" w:rsidRPr="000F69E3">
        <w:rPr>
          <w:b/>
          <w:sz w:val="32"/>
          <w:szCs w:val="32"/>
        </w:rPr>
        <w:t>Core Practices of Proficiency-Based Learning</w:t>
      </w:r>
      <w:r w:rsidR="00B9392F" w:rsidRPr="000F69E3">
        <w:rPr>
          <w:b/>
          <w:sz w:val="32"/>
          <w:szCs w:val="32"/>
        </w:rPr>
        <w:t xml:space="preserve"> for World Languages</w:t>
      </w:r>
    </w:p>
    <w:p w:rsidR="006F5724" w:rsidRDefault="000F69E3" w:rsidP="006F5724">
      <w:pPr>
        <w:rPr>
          <w:sz w:val="24"/>
          <w:szCs w:val="24"/>
        </w:rPr>
      </w:pPr>
      <w:r>
        <w:rPr>
          <w:sz w:val="24"/>
          <w:szCs w:val="24"/>
        </w:rPr>
        <w:t xml:space="preserve">The Six Core Practices are highly-effective and research-based teaching methods designed specifically for the world language classroom.  </w:t>
      </w:r>
      <w:r w:rsidR="00C63428" w:rsidRPr="000F69E3">
        <w:rPr>
          <w:sz w:val="24"/>
          <w:szCs w:val="24"/>
        </w:rPr>
        <w:t>The 6 core practices provide clear guidance for classroom instruction in achieving a shift towards a proficiency model and focus on teacher actions.  Teaching for proficiency requires a change to the core of world language teach</w:t>
      </w:r>
      <w:r w:rsidR="00C523B8">
        <w:rPr>
          <w:sz w:val="24"/>
          <w:szCs w:val="24"/>
        </w:rPr>
        <w:t>ing and learning and provides</w:t>
      </w:r>
      <w:r w:rsidR="00C63428" w:rsidRPr="000F69E3">
        <w:rPr>
          <w:sz w:val="24"/>
          <w:szCs w:val="24"/>
        </w:rPr>
        <w:t xml:space="preserve"> guidance for student language acquisition.  </w:t>
      </w:r>
    </w:p>
    <w:p w:rsidR="006F5724" w:rsidRPr="000F69E3" w:rsidRDefault="006F5724" w:rsidP="00C63428">
      <w:pPr>
        <w:rPr>
          <w:sz w:val="24"/>
          <w:szCs w:val="24"/>
        </w:rPr>
      </w:pPr>
      <w:r>
        <w:rPr>
          <w:sz w:val="24"/>
          <w:szCs w:val="24"/>
        </w:rPr>
        <w:t>Unlike “Best Practices” which defines “what works” based on experience; the 6 core practices are complex instructiona</w:t>
      </w:r>
      <w:r w:rsidR="00C523B8">
        <w:rPr>
          <w:sz w:val="24"/>
          <w:szCs w:val="24"/>
        </w:rPr>
        <w:t>l practices that fully support</w:t>
      </w:r>
      <w:r>
        <w:rPr>
          <w:sz w:val="24"/>
          <w:szCs w:val="24"/>
        </w:rPr>
        <w:t xml:space="preserve"> student learning.  They are not transparent or learnable through modeling alone and need to be rehearsed and coached in the specific context.  Teachers must detail, deconstruct, and explicitly teach and assess the core practices.  </w:t>
      </w:r>
    </w:p>
    <w:p w:rsidR="00B9392F" w:rsidRDefault="00B9392F" w:rsidP="002E3C70">
      <w:pPr>
        <w:pStyle w:val="ListParagraph"/>
        <w:numPr>
          <w:ilvl w:val="0"/>
          <w:numId w:val="13"/>
        </w:numPr>
        <w:rPr>
          <w:sz w:val="24"/>
          <w:szCs w:val="24"/>
        </w:rPr>
      </w:pPr>
      <w:r>
        <w:rPr>
          <w:b/>
          <w:sz w:val="24"/>
          <w:szCs w:val="24"/>
        </w:rPr>
        <w:t xml:space="preserve"> </w:t>
      </w:r>
      <w:r w:rsidR="00827934">
        <w:rPr>
          <w:b/>
          <w:sz w:val="24"/>
          <w:szCs w:val="24"/>
        </w:rPr>
        <w:t>Facilitate Target Language Comprehensibility</w:t>
      </w:r>
      <w:r w:rsidRPr="00B9392F">
        <w:rPr>
          <w:b/>
          <w:sz w:val="24"/>
          <w:szCs w:val="24"/>
        </w:rPr>
        <w:t xml:space="preserve"> – </w:t>
      </w:r>
      <w:r w:rsidRPr="00B9392F">
        <w:rPr>
          <w:sz w:val="24"/>
          <w:szCs w:val="24"/>
        </w:rPr>
        <w:t>Students and teachers speak, listen, read, write, view, and create in the target language 90% or more during classroom time:  comprehensible input, context, and interactions</w:t>
      </w:r>
    </w:p>
    <w:p w:rsidR="00B9392F" w:rsidRPr="00B9392F" w:rsidRDefault="00B9392F" w:rsidP="00B9392F">
      <w:pPr>
        <w:pStyle w:val="ListParagraph"/>
        <w:rPr>
          <w:sz w:val="24"/>
          <w:szCs w:val="24"/>
        </w:rPr>
      </w:pPr>
    </w:p>
    <w:p w:rsidR="00B9392F" w:rsidRDefault="002E3C70" w:rsidP="002E3C70">
      <w:pPr>
        <w:pStyle w:val="ListParagraph"/>
        <w:numPr>
          <w:ilvl w:val="0"/>
          <w:numId w:val="13"/>
        </w:numPr>
        <w:rPr>
          <w:sz w:val="24"/>
          <w:szCs w:val="24"/>
        </w:rPr>
      </w:pPr>
      <w:r w:rsidRPr="00B9392F">
        <w:rPr>
          <w:b/>
          <w:sz w:val="24"/>
          <w:szCs w:val="24"/>
        </w:rPr>
        <w:t xml:space="preserve">Design </w:t>
      </w:r>
      <w:r w:rsidR="00827934">
        <w:rPr>
          <w:b/>
          <w:sz w:val="24"/>
          <w:szCs w:val="24"/>
        </w:rPr>
        <w:t>Oral Interpersonal Communication</w:t>
      </w:r>
      <w:r w:rsidRPr="00B9392F">
        <w:rPr>
          <w:b/>
          <w:sz w:val="24"/>
          <w:szCs w:val="24"/>
        </w:rPr>
        <w:t xml:space="preserve"> Activities</w:t>
      </w:r>
      <w:r w:rsidR="00827934">
        <w:rPr>
          <w:b/>
          <w:sz w:val="24"/>
          <w:szCs w:val="24"/>
        </w:rPr>
        <w:t xml:space="preserve"> and Tasks</w:t>
      </w:r>
      <w:r w:rsidR="00B9392F" w:rsidRPr="00B9392F">
        <w:rPr>
          <w:b/>
          <w:sz w:val="24"/>
          <w:szCs w:val="24"/>
        </w:rPr>
        <w:t xml:space="preserve"> – </w:t>
      </w:r>
      <w:r w:rsidR="00B9392F" w:rsidRPr="00B9392F">
        <w:rPr>
          <w:sz w:val="24"/>
          <w:szCs w:val="24"/>
        </w:rPr>
        <w:t>Teachers design and carry out interpersonal communication tasks for pairs, small groups, and whole class instruction.</w:t>
      </w:r>
    </w:p>
    <w:p w:rsidR="00B9392F" w:rsidRPr="00B9392F" w:rsidRDefault="00B9392F" w:rsidP="00B9392F">
      <w:pPr>
        <w:pStyle w:val="ListParagraph"/>
        <w:rPr>
          <w:b/>
          <w:sz w:val="24"/>
          <w:szCs w:val="24"/>
        </w:rPr>
      </w:pPr>
    </w:p>
    <w:p w:rsidR="00B9392F" w:rsidRDefault="002E3C70" w:rsidP="002E3C70">
      <w:pPr>
        <w:pStyle w:val="ListParagraph"/>
        <w:numPr>
          <w:ilvl w:val="0"/>
          <w:numId w:val="13"/>
        </w:numPr>
        <w:rPr>
          <w:sz w:val="24"/>
          <w:szCs w:val="24"/>
        </w:rPr>
      </w:pPr>
      <w:r w:rsidRPr="00B9392F">
        <w:rPr>
          <w:b/>
          <w:sz w:val="24"/>
          <w:szCs w:val="24"/>
        </w:rPr>
        <w:t>Teach Grammar as Concept and Use in Context</w:t>
      </w:r>
      <w:r w:rsidR="00B9392F" w:rsidRPr="00B9392F">
        <w:rPr>
          <w:b/>
          <w:sz w:val="24"/>
          <w:szCs w:val="24"/>
        </w:rPr>
        <w:t xml:space="preserve"> – </w:t>
      </w:r>
      <w:r w:rsidR="00B9392F" w:rsidRPr="00B9392F">
        <w:rPr>
          <w:sz w:val="24"/>
          <w:szCs w:val="24"/>
        </w:rPr>
        <w:t>Teach</w:t>
      </w:r>
      <w:r w:rsidR="00C523B8">
        <w:rPr>
          <w:sz w:val="24"/>
          <w:szCs w:val="24"/>
        </w:rPr>
        <w:t>ers teach</w:t>
      </w:r>
      <w:r w:rsidR="00645F40">
        <w:rPr>
          <w:sz w:val="24"/>
          <w:szCs w:val="24"/>
        </w:rPr>
        <w:t xml:space="preserve"> grammar in providing</w:t>
      </w:r>
      <w:r w:rsidR="00C523B8">
        <w:rPr>
          <w:sz w:val="24"/>
          <w:szCs w:val="24"/>
        </w:rPr>
        <w:t xml:space="preserve"> multiple opportunities for students to acquire and</w:t>
      </w:r>
      <w:r w:rsidR="00B9392F" w:rsidRPr="00B9392F">
        <w:rPr>
          <w:sz w:val="24"/>
          <w:szCs w:val="24"/>
        </w:rPr>
        <w:t xml:space="preserve"> use</w:t>
      </w:r>
      <w:r w:rsidR="00645F40">
        <w:rPr>
          <w:sz w:val="24"/>
          <w:szCs w:val="24"/>
        </w:rPr>
        <w:t xml:space="preserve"> the concept</w:t>
      </w:r>
      <w:r w:rsidR="00B9392F" w:rsidRPr="00B9392F">
        <w:rPr>
          <w:sz w:val="24"/>
          <w:szCs w:val="24"/>
        </w:rPr>
        <w:t xml:space="preserve"> in context.  Students focus on meaning before form.</w:t>
      </w:r>
    </w:p>
    <w:p w:rsidR="00B9392F" w:rsidRPr="00B9392F" w:rsidRDefault="00B9392F" w:rsidP="00B9392F">
      <w:pPr>
        <w:pStyle w:val="ListParagraph"/>
        <w:rPr>
          <w:b/>
          <w:sz w:val="24"/>
          <w:szCs w:val="24"/>
        </w:rPr>
      </w:pPr>
    </w:p>
    <w:p w:rsidR="00B9392F" w:rsidRDefault="00827934" w:rsidP="002E3C70">
      <w:pPr>
        <w:pStyle w:val="ListParagraph"/>
        <w:numPr>
          <w:ilvl w:val="0"/>
          <w:numId w:val="13"/>
        </w:numPr>
        <w:rPr>
          <w:sz w:val="24"/>
          <w:szCs w:val="24"/>
        </w:rPr>
      </w:pPr>
      <w:r>
        <w:rPr>
          <w:b/>
          <w:sz w:val="24"/>
          <w:szCs w:val="24"/>
        </w:rPr>
        <w:t>Guide Learners through Interpreting Authentic</w:t>
      </w:r>
      <w:r w:rsidR="002E3C70" w:rsidRPr="00B9392F">
        <w:rPr>
          <w:b/>
          <w:sz w:val="24"/>
          <w:szCs w:val="24"/>
        </w:rPr>
        <w:t xml:space="preserve"> </w:t>
      </w:r>
      <w:r>
        <w:rPr>
          <w:b/>
          <w:sz w:val="24"/>
          <w:szCs w:val="24"/>
        </w:rPr>
        <w:t xml:space="preserve">and Cultural </w:t>
      </w:r>
      <w:r w:rsidR="002E3C70" w:rsidRPr="00B9392F">
        <w:rPr>
          <w:b/>
          <w:sz w:val="24"/>
          <w:szCs w:val="24"/>
        </w:rPr>
        <w:t>Resources</w:t>
      </w:r>
      <w:r w:rsidR="00B9392F" w:rsidRPr="00B9392F">
        <w:rPr>
          <w:b/>
          <w:sz w:val="24"/>
          <w:szCs w:val="24"/>
        </w:rPr>
        <w:t xml:space="preserve"> – </w:t>
      </w:r>
      <w:r w:rsidR="00B9392F" w:rsidRPr="00B9392F">
        <w:rPr>
          <w:sz w:val="24"/>
          <w:szCs w:val="24"/>
        </w:rPr>
        <w:t>Present interactive reading and listening comprehension task using authentic cultural texts with appropriate scaffolding while promoting interpretation.</w:t>
      </w:r>
    </w:p>
    <w:p w:rsidR="00B9392F" w:rsidRPr="00B9392F" w:rsidRDefault="00B9392F" w:rsidP="00B9392F">
      <w:pPr>
        <w:pStyle w:val="ListParagraph"/>
        <w:rPr>
          <w:b/>
          <w:sz w:val="24"/>
          <w:szCs w:val="24"/>
        </w:rPr>
      </w:pPr>
    </w:p>
    <w:p w:rsidR="00B9392F" w:rsidRDefault="002E3C70" w:rsidP="002E3C70">
      <w:pPr>
        <w:pStyle w:val="ListParagraph"/>
        <w:numPr>
          <w:ilvl w:val="0"/>
          <w:numId w:val="13"/>
        </w:numPr>
        <w:rPr>
          <w:sz w:val="24"/>
          <w:szCs w:val="24"/>
        </w:rPr>
      </w:pPr>
      <w:r w:rsidRPr="00B9392F">
        <w:rPr>
          <w:b/>
          <w:sz w:val="24"/>
          <w:szCs w:val="24"/>
        </w:rPr>
        <w:t>Plan with Backward Design Model</w:t>
      </w:r>
      <w:r w:rsidR="00B9392F" w:rsidRPr="00B9392F">
        <w:rPr>
          <w:b/>
          <w:sz w:val="24"/>
          <w:szCs w:val="24"/>
        </w:rPr>
        <w:t xml:space="preserve"> – </w:t>
      </w:r>
      <w:r w:rsidR="00B9392F" w:rsidRPr="00B9392F">
        <w:rPr>
          <w:sz w:val="24"/>
          <w:szCs w:val="24"/>
        </w:rPr>
        <w:t>Instructors identify desired results</w:t>
      </w:r>
      <w:r w:rsidR="00C523B8">
        <w:rPr>
          <w:sz w:val="24"/>
          <w:szCs w:val="24"/>
        </w:rPr>
        <w:t>,</w:t>
      </w:r>
      <w:r w:rsidR="00B9392F" w:rsidRPr="00B9392F">
        <w:rPr>
          <w:sz w:val="24"/>
          <w:szCs w:val="24"/>
        </w:rPr>
        <w:t xml:space="preserve"> then determine acceptable evidence</w:t>
      </w:r>
      <w:r w:rsidR="00C523B8">
        <w:rPr>
          <w:sz w:val="24"/>
          <w:szCs w:val="24"/>
        </w:rPr>
        <w:t>, and</w:t>
      </w:r>
      <w:r w:rsidR="00B9392F" w:rsidRPr="00B9392F">
        <w:rPr>
          <w:sz w:val="24"/>
          <w:szCs w:val="24"/>
        </w:rPr>
        <w:t xml:space="preserve"> then plan learning experiences and instruction.</w:t>
      </w:r>
    </w:p>
    <w:p w:rsidR="00B9392F" w:rsidRPr="00B9392F" w:rsidRDefault="00B9392F" w:rsidP="00B9392F">
      <w:pPr>
        <w:pStyle w:val="ListParagraph"/>
        <w:rPr>
          <w:b/>
          <w:sz w:val="24"/>
          <w:szCs w:val="24"/>
        </w:rPr>
      </w:pPr>
    </w:p>
    <w:p w:rsidR="00B9392F" w:rsidRPr="00B9392F" w:rsidRDefault="002E3C70" w:rsidP="002E3C70">
      <w:pPr>
        <w:pStyle w:val="ListParagraph"/>
        <w:numPr>
          <w:ilvl w:val="0"/>
          <w:numId w:val="13"/>
        </w:numPr>
        <w:rPr>
          <w:sz w:val="24"/>
          <w:szCs w:val="24"/>
        </w:rPr>
      </w:pPr>
      <w:r w:rsidRPr="00B9392F">
        <w:rPr>
          <w:b/>
          <w:sz w:val="24"/>
          <w:szCs w:val="24"/>
        </w:rPr>
        <w:t xml:space="preserve">Provide Appropriate </w:t>
      </w:r>
      <w:r w:rsidR="00827934">
        <w:rPr>
          <w:b/>
          <w:sz w:val="24"/>
          <w:szCs w:val="24"/>
        </w:rPr>
        <w:t xml:space="preserve">Oral </w:t>
      </w:r>
      <w:r w:rsidRPr="00B9392F">
        <w:rPr>
          <w:b/>
          <w:sz w:val="24"/>
          <w:szCs w:val="24"/>
        </w:rPr>
        <w:t>Feedback</w:t>
      </w:r>
      <w:r w:rsidR="00B9392F" w:rsidRPr="00B9392F">
        <w:rPr>
          <w:b/>
          <w:sz w:val="24"/>
          <w:szCs w:val="24"/>
        </w:rPr>
        <w:t xml:space="preserve"> – </w:t>
      </w:r>
      <w:r w:rsidR="00B9392F" w:rsidRPr="00B9392F">
        <w:rPr>
          <w:sz w:val="24"/>
          <w:szCs w:val="24"/>
        </w:rPr>
        <w:t xml:space="preserve">Oral corrective feedback in speech or writing elicits output beyond a simple yes or no response.  </w:t>
      </w:r>
    </w:p>
    <w:p w:rsidR="00B9392F" w:rsidRDefault="00B9392F" w:rsidP="002E3C70">
      <w:pPr>
        <w:rPr>
          <w:b/>
          <w:sz w:val="24"/>
          <w:szCs w:val="24"/>
        </w:rPr>
      </w:pPr>
    </w:p>
    <w:p w:rsidR="00C63428" w:rsidRPr="008A6EDD" w:rsidRDefault="008A6EDD" w:rsidP="002E3C70">
      <w:pPr>
        <w:rPr>
          <w:b/>
          <w:sz w:val="16"/>
          <w:szCs w:val="16"/>
        </w:rPr>
      </w:pPr>
      <w:r>
        <w:rPr>
          <w:b/>
          <w:sz w:val="16"/>
          <w:szCs w:val="16"/>
        </w:rPr>
        <w:t>Adapted from:  American Council on the Teaching of Foreign Languages ACTFL “Building Your Core:  Effective Practices for Language Learners and Educators”</w:t>
      </w:r>
    </w:p>
    <w:p w:rsidR="00316876" w:rsidRDefault="00316876" w:rsidP="00316876">
      <w:pPr>
        <w:rPr>
          <w:rFonts w:cs="Palatino-Roman"/>
          <w:b/>
          <w:sz w:val="28"/>
          <w:szCs w:val="28"/>
        </w:rPr>
      </w:pPr>
    </w:p>
    <w:p w:rsidR="002C0606" w:rsidRDefault="00B9392F" w:rsidP="00C3683C">
      <w:pPr>
        <w:jc w:val="center"/>
        <w:rPr>
          <w:rFonts w:cs="Palatino-Roman"/>
          <w:b/>
          <w:sz w:val="28"/>
          <w:szCs w:val="28"/>
        </w:rPr>
      </w:pPr>
      <w:r w:rsidRPr="00C015F2">
        <w:rPr>
          <w:rFonts w:cs="Palatino-Roman"/>
          <w:b/>
          <w:sz w:val="28"/>
          <w:szCs w:val="28"/>
        </w:rPr>
        <w:lastRenderedPageBreak/>
        <w:t>Instructional Shifts in</w:t>
      </w:r>
      <w:r>
        <w:rPr>
          <w:rFonts w:cs="Palatino-Roman"/>
          <w:b/>
          <w:sz w:val="28"/>
          <w:szCs w:val="28"/>
        </w:rPr>
        <w:t xml:space="preserve"> World Languages</w:t>
      </w:r>
    </w:p>
    <w:tbl>
      <w:tblPr>
        <w:tblStyle w:val="TableGrid"/>
        <w:tblpPr w:leftFromText="180" w:rightFromText="180" w:vertAnchor="text" w:horzAnchor="margin" w:tblpXSpec="center" w:tblpY="222"/>
        <w:tblW w:w="0" w:type="auto"/>
        <w:tblLook w:val="04A0" w:firstRow="1" w:lastRow="0" w:firstColumn="1" w:lastColumn="0" w:noHBand="0" w:noVBand="1"/>
      </w:tblPr>
      <w:tblGrid>
        <w:gridCol w:w="4284"/>
        <w:gridCol w:w="4464"/>
      </w:tblGrid>
      <w:tr w:rsidR="000F69E3" w:rsidTr="002F2245">
        <w:tc>
          <w:tcPr>
            <w:tcW w:w="4284" w:type="dxa"/>
            <w:shd w:val="clear" w:color="auto" w:fill="95B3D7" w:themeFill="accent1" w:themeFillTint="99"/>
          </w:tcPr>
          <w:p w:rsidR="000F69E3" w:rsidRPr="00161BC6" w:rsidRDefault="00C3683C" w:rsidP="00490A25">
            <w:pPr>
              <w:jc w:val="center"/>
              <w:rPr>
                <w:b/>
                <w:sz w:val="28"/>
                <w:szCs w:val="28"/>
              </w:rPr>
            </w:pPr>
            <w:r>
              <w:rPr>
                <w:b/>
                <w:sz w:val="28"/>
                <w:szCs w:val="28"/>
              </w:rPr>
              <w:t xml:space="preserve">Moving from </w:t>
            </w:r>
            <w:r w:rsidR="000F69E3" w:rsidRPr="00161BC6">
              <w:rPr>
                <w:b/>
                <w:sz w:val="28"/>
                <w:szCs w:val="28"/>
              </w:rPr>
              <w:t>…….</w:t>
            </w:r>
          </w:p>
          <w:p w:rsidR="000F69E3" w:rsidRPr="00161BC6" w:rsidRDefault="000F69E3" w:rsidP="000F69E3">
            <w:pPr>
              <w:rPr>
                <w:b/>
                <w:sz w:val="28"/>
                <w:szCs w:val="28"/>
              </w:rPr>
            </w:pPr>
          </w:p>
        </w:tc>
        <w:tc>
          <w:tcPr>
            <w:tcW w:w="4464" w:type="dxa"/>
            <w:shd w:val="clear" w:color="auto" w:fill="95B3D7" w:themeFill="accent1" w:themeFillTint="99"/>
          </w:tcPr>
          <w:p w:rsidR="000F69E3" w:rsidRPr="00161BC6" w:rsidRDefault="00C3683C" w:rsidP="00490A25">
            <w:pPr>
              <w:jc w:val="center"/>
              <w:rPr>
                <w:b/>
                <w:sz w:val="28"/>
                <w:szCs w:val="28"/>
              </w:rPr>
            </w:pPr>
            <w:r>
              <w:rPr>
                <w:b/>
                <w:sz w:val="28"/>
                <w:szCs w:val="28"/>
              </w:rPr>
              <w:t xml:space="preserve">Moving to </w:t>
            </w:r>
            <w:r w:rsidR="000F69E3" w:rsidRPr="00161BC6">
              <w:rPr>
                <w:b/>
                <w:sz w:val="28"/>
                <w:szCs w:val="28"/>
              </w:rPr>
              <w:t>…….</w:t>
            </w:r>
          </w:p>
        </w:tc>
      </w:tr>
      <w:tr w:rsidR="000F69E3" w:rsidTr="000F69E3">
        <w:tc>
          <w:tcPr>
            <w:tcW w:w="4284" w:type="dxa"/>
          </w:tcPr>
          <w:p w:rsidR="000F69E3" w:rsidRPr="00161BC6" w:rsidRDefault="000F69E3" w:rsidP="000F69E3">
            <w:pPr>
              <w:rPr>
                <w:sz w:val="28"/>
                <w:szCs w:val="28"/>
              </w:rPr>
            </w:pPr>
            <w:r w:rsidRPr="00161BC6">
              <w:rPr>
                <w:sz w:val="28"/>
                <w:szCs w:val="28"/>
              </w:rPr>
              <w:t xml:space="preserve">Learning about the language </w:t>
            </w:r>
          </w:p>
        </w:tc>
        <w:tc>
          <w:tcPr>
            <w:tcW w:w="4464" w:type="dxa"/>
          </w:tcPr>
          <w:p w:rsidR="000F69E3" w:rsidRPr="00161BC6" w:rsidRDefault="00316876" w:rsidP="000F69E3">
            <w:pPr>
              <w:rPr>
                <w:sz w:val="28"/>
                <w:szCs w:val="28"/>
              </w:rPr>
            </w:pPr>
            <w:r>
              <w:rPr>
                <w:sz w:val="28"/>
                <w:szCs w:val="28"/>
              </w:rPr>
              <w:t>Acquiring the</w:t>
            </w:r>
            <w:r w:rsidR="000F69E3" w:rsidRPr="00161BC6">
              <w:rPr>
                <w:sz w:val="28"/>
                <w:szCs w:val="28"/>
              </w:rPr>
              <w:t xml:space="preserve"> language</w:t>
            </w:r>
          </w:p>
        </w:tc>
      </w:tr>
      <w:tr w:rsidR="00C3683C" w:rsidTr="000F69E3">
        <w:tc>
          <w:tcPr>
            <w:tcW w:w="4284" w:type="dxa"/>
          </w:tcPr>
          <w:p w:rsidR="00C3683C" w:rsidRPr="00161BC6" w:rsidRDefault="00C3683C" w:rsidP="000F69E3">
            <w:pPr>
              <w:rPr>
                <w:sz w:val="28"/>
                <w:szCs w:val="28"/>
              </w:rPr>
            </w:pPr>
            <w:r>
              <w:rPr>
                <w:sz w:val="28"/>
                <w:szCs w:val="28"/>
              </w:rPr>
              <w:t>Professional learning in isolation</w:t>
            </w:r>
          </w:p>
        </w:tc>
        <w:tc>
          <w:tcPr>
            <w:tcW w:w="4464" w:type="dxa"/>
          </w:tcPr>
          <w:p w:rsidR="00C3683C" w:rsidRPr="00161BC6" w:rsidRDefault="003C5696" w:rsidP="000F69E3">
            <w:pPr>
              <w:rPr>
                <w:sz w:val="28"/>
                <w:szCs w:val="28"/>
              </w:rPr>
            </w:pPr>
            <w:r>
              <w:rPr>
                <w:sz w:val="28"/>
                <w:szCs w:val="28"/>
              </w:rPr>
              <w:t>To professional l</w:t>
            </w:r>
            <w:r w:rsidR="00C3683C">
              <w:rPr>
                <w:sz w:val="28"/>
                <w:szCs w:val="28"/>
              </w:rPr>
              <w:t>earning through a PLN, Professional Learning Networks</w:t>
            </w:r>
          </w:p>
        </w:tc>
      </w:tr>
      <w:tr w:rsidR="000F69E3" w:rsidTr="000F69E3">
        <w:tc>
          <w:tcPr>
            <w:tcW w:w="4284" w:type="dxa"/>
          </w:tcPr>
          <w:p w:rsidR="000F69E3" w:rsidRPr="00161BC6" w:rsidRDefault="000F69E3" w:rsidP="000F69E3">
            <w:pPr>
              <w:rPr>
                <w:sz w:val="28"/>
                <w:szCs w:val="28"/>
              </w:rPr>
            </w:pPr>
            <w:r w:rsidRPr="00161BC6">
              <w:rPr>
                <w:sz w:val="28"/>
                <w:szCs w:val="28"/>
              </w:rPr>
              <w:t>Speaking English</w:t>
            </w:r>
            <w:r w:rsidR="00316876">
              <w:rPr>
                <w:sz w:val="28"/>
                <w:szCs w:val="28"/>
              </w:rPr>
              <w:t xml:space="preserve"> in class</w:t>
            </w:r>
          </w:p>
        </w:tc>
        <w:tc>
          <w:tcPr>
            <w:tcW w:w="4464" w:type="dxa"/>
          </w:tcPr>
          <w:p w:rsidR="000F69E3" w:rsidRPr="00161BC6" w:rsidRDefault="000F69E3" w:rsidP="000F69E3">
            <w:pPr>
              <w:rPr>
                <w:sz w:val="28"/>
                <w:szCs w:val="28"/>
              </w:rPr>
            </w:pPr>
            <w:r w:rsidRPr="00161BC6">
              <w:rPr>
                <w:sz w:val="28"/>
                <w:szCs w:val="28"/>
              </w:rPr>
              <w:t>Doing all routines and instructions in the target language</w:t>
            </w:r>
          </w:p>
        </w:tc>
      </w:tr>
      <w:tr w:rsidR="000F69E3" w:rsidTr="000F69E3">
        <w:tc>
          <w:tcPr>
            <w:tcW w:w="4284" w:type="dxa"/>
          </w:tcPr>
          <w:p w:rsidR="000F69E3" w:rsidRPr="00161BC6" w:rsidRDefault="000F69E3" w:rsidP="000F69E3">
            <w:pPr>
              <w:rPr>
                <w:sz w:val="28"/>
                <w:szCs w:val="28"/>
              </w:rPr>
            </w:pPr>
            <w:r w:rsidRPr="00161BC6">
              <w:rPr>
                <w:sz w:val="28"/>
                <w:szCs w:val="28"/>
              </w:rPr>
              <w:t>Students memorizing language</w:t>
            </w:r>
            <w:r w:rsidR="003C5696">
              <w:rPr>
                <w:sz w:val="28"/>
                <w:szCs w:val="28"/>
              </w:rPr>
              <w:t xml:space="preserve"> via skit or dialog </w:t>
            </w:r>
          </w:p>
        </w:tc>
        <w:tc>
          <w:tcPr>
            <w:tcW w:w="4464" w:type="dxa"/>
          </w:tcPr>
          <w:p w:rsidR="000F69E3" w:rsidRPr="00161BC6" w:rsidRDefault="000F69E3" w:rsidP="000F69E3">
            <w:pPr>
              <w:rPr>
                <w:sz w:val="28"/>
                <w:szCs w:val="28"/>
              </w:rPr>
            </w:pPr>
            <w:r w:rsidRPr="00161BC6">
              <w:rPr>
                <w:sz w:val="28"/>
                <w:szCs w:val="28"/>
              </w:rPr>
              <w:t>Teaching lang</w:t>
            </w:r>
            <w:r w:rsidR="003C5696">
              <w:rPr>
                <w:sz w:val="28"/>
                <w:szCs w:val="28"/>
              </w:rPr>
              <w:t>uage in context with spontaneity and student ownership</w:t>
            </w:r>
          </w:p>
        </w:tc>
      </w:tr>
      <w:tr w:rsidR="000F69E3" w:rsidTr="000F69E3">
        <w:tc>
          <w:tcPr>
            <w:tcW w:w="4284" w:type="dxa"/>
          </w:tcPr>
          <w:p w:rsidR="000F69E3" w:rsidRPr="00161BC6" w:rsidRDefault="00316876" w:rsidP="000F69E3">
            <w:pPr>
              <w:rPr>
                <w:sz w:val="28"/>
                <w:szCs w:val="28"/>
              </w:rPr>
            </w:pPr>
            <w:r>
              <w:rPr>
                <w:sz w:val="28"/>
                <w:szCs w:val="28"/>
              </w:rPr>
              <w:t>Explicit grammar i</w:t>
            </w:r>
            <w:r w:rsidR="000F69E3" w:rsidRPr="00161BC6">
              <w:rPr>
                <w:sz w:val="28"/>
                <w:szCs w:val="28"/>
              </w:rPr>
              <w:t>nstruction</w:t>
            </w:r>
          </w:p>
        </w:tc>
        <w:tc>
          <w:tcPr>
            <w:tcW w:w="4464" w:type="dxa"/>
          </w:tcPr>
          <w:p w:rsidR="003C5696" w:rsidRPr="00161BC6" w:rsidRDefault="000F69E3" w:rsidP="000F69E3">
            <w:pPr>
              <w:rPr>
                <w:sz w:val="28"/>
                <w:szCs w:val="28"/>
              </w:rPr>
            </w:pPr>
            <w:r w:rsidRPr="00161BC6">
              <w:rPr>
                <w:sz w:val="28"/>
                <w:szCs w:val="28"/>
              </w:rPr>
              <w:t>Embedding and using grammar in context</w:t>
            </w:r>
          </w:p>
        </w:tc>
      </w:tr>
      <w:tr w:rsidR="00C3683C" w:rsidTr="000F69E3">
        <w:tc>
          <w:tcPr>
            <w:tcW w:w="4284" w:type="dxa"/>
          </w:tcPr>
          <w:p w:rsidR="00C3683C" w:rsidRPr="00161BC6" w:rsidRDefault="00C3683C" w:rsidP="000F69E3">
            <w:pPr>
              <w:rPr>
                <w:sz w:val="28"/>
                <w:szCs w:val="28"/>
              </w:rPr>
            </w:pPr>
            <w:r>
              <w:rPr>
                <w:sz w:val="28"/>
                <w:szCs w:val="28"/>
              </w:rPr>
              <w:t>Detailed error correction</w:t>
            </w:r>
          </w:p>
        </w:tc>
        <w:tc>
          <w:tcPr>
            <w:tcW w:w="4464" w:type="dxa"/>
          </w:tcPr>
          <w:p w:rsidR="00C3683C" w:rsidRPr="00161BC6" w:rsidRDefault="003C5696" w:rsidP="003C5696">
            <w:pPr>
              <w:rPr>
                <w:sz w:val="28"/>
                <w:szCs w:val="28"/>
              </w:rPr>
            </w:pPr>
            <w:r w:rsidRPr="00161BC6">
              <w:rPr>
                <w:sz w:val="28"/>
                <w:szCs w:val="28"/>
              </w:rPr>
              <w:t>Teaching language in context with</w:t>
            </w:r>
            <w:r>
              <w:rPr>
                <w:sz w:val="28"/>
                <w:szCs w:val="28"/>
              </w:rPr>
              <w:t xml:space="preserve"> additional </w:t>
            </w:r>
            <w:r w:rsidRPr="00161BC6">
              <w:rPr>
                <w:sz w:val="28"/>
                <w:szCs w:val="28"/>
              </w:rPr>
              <w:t>repetition</w:t>
            </w:r>
          </w:p>
        </w:tc>
      </w:tr>
      <w:tr w:rsidR="000F69E3" w:rsidTr="000F69E3">
        <w:tc>
          <w:tcPr>
            <w:tcW w:w="4284" w:type="dxa"/>
          </w:tcPr>
          <w:p w:rsidR="000F69E3" w:rsidRPr="00161BC6" w:rsidRDefault="000F69E3" w:rsidP="000F69E3">
            <w:pPr>
              <w:rPr>
                <w:sz w:val="28"/>
                <w:szCs w:val="28"/>
              </w:rPr>
            </w:pPr>
            <w:r w:rsidRPr="00161BC6">
              <w:rPr>
                <w:sz w:val="28"/>
                <w:szCs w:val="28"/>
              </w:rPr>
              <w:t>Vocabulary lists</w:t>
            </w:r>
            <w:r w:rsidR="00316876">
              <w:rPr>
                <w:sz w:val="28"/>
                <w:szCs w:val="28"/>
              </w:rPr>
              <w:t xml:space="preserve"> and categories </w:t>
            </w:r>
          </w:p>
        </w:tc>
        <w:tc>
          <w:tcPr>
            <w:tcW w:w="4464" w:type="dxa"/>
          </w:tcPr>
          <w:p w:rsidR="000F69E3" w:rsidRPr="00161BC6" w:rsidRDefault="000F69E3" w:rsidP="000F69E3">
            <w:pPr>
              <w:rPr>
                <w:sz w:val="28"/>
                <w:szCs w:val="28"/>
              </w:rPr>
            </w:pPr>
            <w:r w:rsidRPr="00161BC6">
              <w:rPr>
                <w:sz w:val="28"/>
                <w:szCs w:val="28"/>
              </w:rPr>
              <w:t>Targeted high frequency structures</w:t>
            </w:r>
          </w:p>
        </w:tc>
      </w:tr>
      <w:tr w:rsidR="000F69E3" w:rsidTr="000F69E3">
        <w:tc>
          <w:tcPr>
            <w:tcW w:w="4284" w:type="dxa"/>
          </w:tcPr>
          <w:p w:rsidR="000F69E3" w:rsidRPr="00161BC6" w:rsidRDefault="000F69E3" w:rsidP="000F69E3">
            <w:pPr>
              <w:rPr>
                <w:sz w:val="28"/>
                <w:szCs w:val="28"/>
              </w:rPr>
            </w:pPr>
            <w:r w:rsidRPr="00161BC6">
              <w:rPr>
                <w:sz w:val="28"/>
                <w:szCs w:val="28"/>
              </w:rPr>
              <w:t>Text book excerpts with questions answer</w:t>
            </w:r>
          </w:p>
        </w:tc>
        <w:tc>
          <w:tcPr>
            <w:tcW w:w="4464" w:type="dxa"/>
          </w:tcPr>
          <w:p w:rsidR="000F69E3" w:rsidRPr="00161BC6" w:rsidRDefault="000F69E3" w:rsidP="000F69E3">
            <w:pPr>
              <w:rPr>
                <w:sz w:val="28"/>
                <w:szCs w:val="28"/>
              </w:rPr>
            </w:pPr>
            <w:r w:rsidRPr="00161BC6">
              <w:rPr>
                <w:sz w:val="28"/>
                <w:szCs w:val="28"/>
              </w:rPr>
              <w:t>Students reading for their own enjoyment</w:t>
            </w:r>
          </w:p>
        </w:tc>
      </w:tr>
      <w:tr w:rsidR="003C5696" w:rsidTr="000F69E3">
        <w:tc>
          <w:tcPr>
            <w:tcW w:w="4284" w:type="dxa"/>
          </w:tcPr>
          <w:p w:rsidR="003C5696" w:rsidRPr="00161BC6" w:rsidRDefault="003C5696" w:rsidP="000F69E3">
            <w:pPr>
              <w:rPr>
                <w:sz w:val="28"/>
                <w:szCs w:val="28"/>
              </w:rPr>
            </w:pPr>
            <w:r>
              <w:rPr>
                <w:sz w:val="28"/>
                <w:szCs w:val="28"/>
              </w:rPr>
              <w:t>Forced oral output, “Repeat after me”.</w:t>
            </w:r>
          </w:p>
        </w:tc>
        <w:tc>
          <w:tcPr>
            <w:tcW w:w="4464" w:type="dxa"/>
          </w:tcPr>
          <w:p w:rsidR="003C5696" w:rsidRPr="00161BC6" w:rsidRDefault="003C5696" w:rsidP="000F69E3">
            <w:pPr>
              <w:rPr>
                <w:sz w:val="28"/>
                <w:szCs w:val="28"/>
              </w:rPr>
            </w:pPr>
            <w:r>
              <w:rPr>
                <w:sz w:val="28"/>
                <w:szCs w:val="28"/>
              </w:rPr>
              <w:t>Allowing language to develop naturally</w:t>
            </w:r>
          </w:p>
        </w:tc>
      </w:tr>
      <w:tr w:rsidR="00C3683C" w:rsidTr="000F69E3">
        <w:tc>
          <w:tcPr>
            <w:tcW w:w="4284" w:type="dxa"/>
          </w:tcPr>
          <w:p w:rsidR="00C3683C" w:rsidRPr="00161BC6" w:rsidRDefault="00C3683C" w:rsidP="000F69E3">
            <w:pPr>
              <w:rPr>
                <w:sz w:val="28"/>
                <w:szCs w:val="28"/>
              </w:rPr>
            </w:pPr>
            <w:r>
              <w:rPr>
                <w:sz w:val="28"/>
                <w:szCs w:val="28"/>
              </w:rPr>
              <w:t>Final grades</w:t>
            </w:r>
          </w:p>
        </w:tc>
        <w:tc>
          <w:tcPr>
            <w:tcW w:w="4464" w:type="dxa"/>
          </w:tcPr>
          <w:p w:rsidR="00C3683C" w:rsidRPr="00161BC6" w:rsidRDefault="00C3683C" w:rsidP="000F69E3">
            <w:pPr>
              <w:rPr>
                <w:sz w:val="28"/>
                <w:szCs w:val="28"/>
              </w:rPr>
            </w:pPr>
            <w:r>
              <w:rPr>
                <w:sz w:val="28"/>
                <w:szCs w:val="28"/>
              </w:rPr>
              <w:t>On-going evaluation of student progress</w:t>
            </w:r>
          </w:p>
        </w:tc>
      </w:tr>
      <w:tr w:rsidR="000F69E3" w:rsidTr="000F69E3">
        <w:tc>
          <w:tcPr>
            <w:tcW w:w="4284" w:type="dxa"/>
          </w:tcPr>
          <w:p w:rsidR="000F69E3" w:rsidRPr="00161BC6" w:rsidRDefault="00327D27" w:rsidP="000F69E3">
            <w:pPr>
              <w:rPr>
                <w:sz w:val="28"/>
                <w:szCs w:val="28"/>
              </w:rPr>
            </w:pPr>
            <w:r>
              <w:rPr>
                <w:sz w:val="28"/>
                <w:szCs w:val="28"/>
              </w:rPr>
              <w:t>Teacher-</w:t>
            </w:r>
            <w:r w:rsidR="000F69E3" w:rsidRPr="00161BC6">
              <w:rPr>
                <w:sz w:val="28"/>
                <w:szCs w:val="28"/>
              </w:rPr>
              <w:t>centered</w:t>
            </w:r>
            <w:r>
              <w:rPr>
                <w:sz w:val="28"/>
                <w:szCs w:val="28"/>
              </w:rPr>
              <w:t xml:space="preserve"> classrooms</w:t>
            </w:r>
          </w:p>
        </w:tc>
        <w:tc>
          <w:tcPr>
            <w:tcW w:w="4464" w:type="dxa"/>
          </w:tcPr>
          <w:p w:rsidR="000F69E3" w:rsidRPr="00161BC6" w:rsidRDefault="00327D27" w:rsidP="000F69E3">
            <w:pPr>
              <w:rPr>
                <w:sz w:val="28"/>
                <w:szCs w:val="28"/>
              </w:rPr>
            </w:pPr>
            <w:r>
              <w:rPr>
                <w:sz w:val="28"/>
                <w:szCs w:val="28"/>
              </w:rPr>
              <w:t>Learner-</w:t>
            </w:r>
            <w:r w:rsidR="000F69E3" w:rsidRPr="00161BC6">
              <w:rPr>
                <w:sz w:val="28"/>
                <w:szCs w:val="28"/>
              </w:rPr>
              <w:t>centered, personalization and coo</w:t>
            </w:r>
            <w:bookmarkStart w:id="0" w:name="_GoBack"/>
            <w:bookmarkEnd w:id="0"/>
            <w:r w:rsidR="000F69E3" w:rsidRPr="00161BC6">
              <w:rPr>
                <w:sz w:val="28"/>
                <w:szCs w:val="28"/>
              </w:rPr>
              <w:t>perative learning structures</w:t>
            </w:r>
          </w:p>
        </w:tc>
      </w:tr>
      <w:tr w:rsidR="000F69E3" w:rsidTr="000F69E3">
        <w:tc>
          <w:tcPr>
            <w:tcW w:w="4284" w:type="dxa"/>
          </w:tcPr>
          <w:p w:rsidR="000F69E3" w:rsidRPr="00161BC6" w:rsidRDefault="00316876" w:rsidP="000F69E3">
            <w:pPr>
              <w:rPr>
                <w:sz w:val="28"/>
                <w:szCs w:val="28"/>
              </w:rPr>
            </w:pPr>
            <w:r>
              <w:rPr>
                <w:sz w:val="28"/>
                <w:szCs w:val="28"/>
              </w:rPr>
              <w:t>Teaching culture</w:t>
            </w:r>
            <w:r w:rsidR="000F69E3" w:rsidRPr="00161BC6">
              <w:rPr>
                <w:sz w:val="28"/>
                <w:szCs w:val="28"/>
              </w:rPr>
              <w:t xml:space="preserve"> in isolation</w:t>
            </w:r>
          </w:p>
        </w:tc>
        <w:tc>
          <w:tcPr>
            <w:tcW w:w="4464" w:type="dxa"/>
          </w:tcPr>
          <w:p w:rsidR="000F69E3" w:rsidRPr="00161BC6" w:rsidRDefault="000F69E3" w:rsidP="000F69E3">
            <w:pPr>
              <w:rPr>
                <w:sz w:val="28"/>
                <w:szCs w:val="28"/>
              </w:rPr>
            </w:pPr>
            <w:r w:rsidRPr="00161BC6">
              <w:rPr>
                <w:sz w:val="28"/>
                <w:szCs w:val="28"/>
              </w:rPr>
              <w:t xml:space="preserve">Embedding culture through communicative tasks </w:t>
            </w:r>
            <w:r w:rsidR="00316876">
              <w:rPr>
                <w:sz w:val="28"/>
                <w:szCs w:val="28"/>
              </w:rPr>
              <w:t>during all lessons</w:t>
            </w:r>
          </w:p>
        </w:tc>
      </w:tr>
      <w:tr w:rsidR="000F69E3" w:rsidTr="000F69E3">
        <w:tc>
          <w:tcPr>
            <w:tcW w:w="4284" w:type="dxa"/>
          </w:tcPr>
          <w:p w:rsidR="000F69E3" w:rsidRPr="00161BC6" w:rsidRDefault="000F69E3" w:rsidP="000F69E3">
            <w:pPr>
              <w:rPr>
                <w:sz w:val="28"/>
                <w:szCs w:val="28"/>
              </w:rPr>
            </w:pPr>
            <w:r w:rsidRPr="00161BC6">
              <w:rPr>
                <w:sz w:val="28"/>
                <w:szCs w:val="28"/>
              </w:rPr>
              <w:t>Homework</w:t>
            </w:r>
          </w:p>
        </w:tc>
        <w:tc>
          <w:tcPr>
            <w:tcW w:w="4464" w:type="dxa"/>
          </w:tcPr>
          <w:p w:rsidR="000F69E3" w:rsidRPr="00161BC6" w:rsidRDefault="00FB65D0" w:rsidP="00FB65D0">
            <w:pPr>
              <w:rPr>
                <w:sz w:val="28"/>
                <w:szCs w:val="28"/>
              </w:rPr>
            </w:pPr>
            <w:r>
              <w:rPr>
                <w:sz w:val="28"/>
                <w:szCs w:val="28"/>
              </w:rPr>
              <w:t>Seeking</w:t>
            </w:r>
            <w:r w:rsidR="00316876">
              <w:rPr>
                <w:sz w:val="28"/>
                <w:szCs w:val="28"/>
              </w:rPr>
              <w:t xml:space="preserve"> authentic </w:t>
            </w:r>
            <w:r w:rsidR="000F69E3" w:rsidRPr="00161BC6">
              <w:rPr>
                <w:sz w:val="28"/>
                <w:szCs w:val="28"/>
              </w:rPr>
              <w:t>opportunities for using language beyond the classroom</w:t>
            </w:r>
            <w:r w:rsidR="00316876">
              <w:rPr>
                <w:sz w:val="28"/>
                <w:szCs w:val="28"/>
              </w:rPr>
              <w:t xml:space="preserve"> </w:t>
            </w:r>
          </w:p>
        </w:tc>
      </w:tr>
      <w:tr w:rsidR="000F69E3" w:rsidTr="000F69E3">
        <w:tc>
          <w:tcPr>
            <w:tcW w:w="4284" w:type="dxa"/>
          </w:tcPr>
          <w:p w:rsidR="000F69E3" w:rsidRPr="00161BC6" w:rsidRDefault="000F69E3" w:rsidP="000F69E3">
            <w:pPr>
              <w:rPr>
                <w:sz w:val="28"/>
                <w:szCs w:val="28"/>
              </w:rPr>
            </w:pPr>
            <w:r w:rsidRPr="00161BC6">
              <w:rPr>
                <w:sz w:val="28"/>
                <w:szCs w:val="28"/>
              </w:rPr>
              <w:t>Focusing on what students don’t know</w:t>
            </w:r>
          </w:p>
        </w:tc>
        <w:tc>
          <w:tcPr>
            <w:tcW w:w="4464" w:type="dxa"/>
          </w:tcPr>
          <w:p w:rsidR="000F69E3" w:rsidRPr="00161BC6" w:rsidRDefault="00316876" w:rsidP="000F69E3">
            <w:pPr>
              <w:rPr>
                <w:sz w:val="28"/>
                <w:szCs w:val="28"/>
              </w:rPr>
            </w:pPr>
            <w:r>
              <w:rPr>
                <w:sz w:val="28"/>
                <w:szCs w:val="28"/>
              </w:rPr>
              <w:t>Focusing on</w:t>
            </w:r>
            <w:r w:rsidR="000F69E3" w:rsidRPr="00161BC6">
              <w:rPr>
                <w:sz w:val="28"/>
                <w:szCs w:val="28"/>
              </w:rPr>
              <w:t xml:space="preserve"> what students can do</w:t>
            </w:r>
            <w:r>
              <w:rPr>
                <w:sz w:val="28"/>
                <w:szCs w:val="28"/>
              </w:rPr>
              <w:t>.  Using Can Do Statements for goal-setting</w:t>
            </w:r>
          </w:p>
        </w:tc>
      </w:tr>
      <w:tr w:rsidR="000F69E3" w:rsidTr="000F69E3">
        <w:tc>
          <w:tcPr>
            <w:tcW w:w="4284" w:type="dxa"/>
          </w:tcPr>
          <w:p w:rsidR="000F69E3" w:rsidRPr="00161BC6" w:rsidRDefault="000F69E3" w:rsidP="000F69E3">
            <w:pPr>
              <w:rPr>
                <w:sz w:val="28"/>
                <w:szCs w:val="28"/>
              </w:rPr>
            </w:pPr>
            <w:r w:rsidRPr="00161BC6">
              <w:rPr>
                <w:sz w:val="28"/>
                <w:szCs w:val="28"/>
              </w:rPr>
              <w:t>Following a</w:t>
            </w:r>
            <w:r w:rsidR="00316876">
              <w:rPr>
                <w:sz w:val="28"/>
                <w:szCs w:val="28"/>
              </w:rPr>
              <w:t xml:space="preserve"> grammar-based </w:t>
            </w:r>
            <w:r w:rsidRPr="00161BC6">
              <w:rPr>
                <w:sz w:val="28"/>
                <w:szCs w:val="28"/>
              </w:rPr>
              <w:t xml:space="preserve"> curriculum</w:t>
            </w:r>
          </w:p>
        </w:tc>
        <w:tc>
          <w:tcPr>
            <w:tcW w:w="4464" w:type="dxa"/>
          </w:tcPr>
          <w:p w:rsidR="000F69E3" w:rsidRPr="00161BC6" w:rsidRDefault="000F69E3" w:rsidP="000F69E3">
            <w:pPr>
              <w:rPr>
                <w:sz w:val="28"/>
                <w:szCs w:val="28"/>
              </w:rPr>
            </w:pPr>
            <w:r w:rsidRPr="00161BC6">
              <w:rPr>
                <w:sz w:val="28"/>
                <w:szCs w:val="28"/>
              </w:rPr>
              <w:t>Develop</w:t>
            </w:r>
            <w:r w:rsidR="00316876">
              <w:rPr>
                <w:sz w:val="28"/>
                <w:szCs w:val="28"/>
              </w:rPr>
              <w:t>ing rich thematic units with</w:t>
            </w:r>
            <w:r w:rsidRPr="00161BC6">
              <w:rPr>
                <w:sz w:val="28"/>
                <w:szCs w:val="28"/>
              </w:rPr>
              <w:t xml:space="preserve"> real world relevancy</w:t>
            </w:r>
          </w:p>
        </w:tc>
      </w:tr>
      <w:tr w:rsidR="000F69E3" w:rsidTr="000F69E3">
        <w:tc>
          <w:tcPr>
            <w:tcW w:w="4284" w:type="dxa"/>
          </w:tcPr>
          <w:p w:rsidR="000F69E3" w:rsidRPr="00161BC6" w:rsidRDefault="002F2245" w:rsidP="000F69E3">
            <w:pPr>
              <w:rPr>
                <w:sz w:val="28"/>
                <w:szCs w:val="28"/>
              </w:rPr>
            </w:pPr>
            <w:r>
              <w:rPr>
                <w:sz w:val="28"/>
                <w:szCs w:val="28"/>
              </w:rPr>
              <w:t>Using technology only as a tool for instruction</w:t>
            </w:r>
          </w:p>
        </w:tc>
        <w:tc>
          <w:tcPr>
            <w:tcW w:w="4464" w:type="dxa"/>
          </w:tcPr>
          <w:p w:rsidR="002F2245" w:rsidRPr="00161BC6" w:rsidRDefault="002F2245" w:rsidP="000F69E3">
            <w:pPr>
              <w:rPr>
                <w:sz w:val="28"/>
                <w:szCs w:val="28"/>
              </w:rPr>
            </w:pPr>
            <w:r>
              <w:rPr>
                <w:sz w:val="28"/>
                <w:szCs w:val="28"/>
              </w:rPr>
              <w:t>Using technology to transform learning for: connecting, discovering, creativity and critical thinking</w:t>
            </w:r>
          </w:p>
        </w:tc>
      </w:tr>
      <w:tr w:rsidR="002D1835" w:rsidTr="000F69E3">
        <w:tc>
          <w:tcPr>
            <w:tcW w:w="4284" w:type="dxa"/>
          </w:tcPr>
          <w:p w:rsidR="002D1835" w:rsidRDefault="002D1835" w:rsidP="000F69E3">
            <w:pPr>
              <w:rPr>
                <w:sz w:val="28"/>
                <w:szCs w:val="28"/>
              </w:rPr>
            </w:pPr>
            <w:r>
              <w:rPr>
                <w:sz w:val="28"/>
                <w:szCs w:val="28"/>
              </w:rPr>
              <w:t>Practicing language</w:t>
            </w:r>
          </w:p>
        </w:tc>
        <w:tc>
          <w:tcPr>
            <w:tcW w:w="4464" w:type="dxa"/>
          </w:tcPr>
          <w:p w:rsidR="002D1835" w:rsidRDefault="002D1835" w:rsidP="002D1835">
            <w:pPr>
              <w:rPr>
                <w:sz w:val="28"/>
                <w:szCs w:val="28"/>
              </w:rPr>
            </w:pPr>
            <w:r>
              <w:rPr>
                <w:sz w:val="28"/>
                <w:szCs w:val="28"/>
              </w:rPr>
              <w:t xml:space="preserve">Using language for communication*.  </w:t>
            </w:r>
            <w:r w:rsidRPr="00161BC6">
              <w:rPr>
                <w:sz w:val="28"/>
                <w:szCs w:val="28"/>
              </w:rPr>
              <w:t xml:space="preserve"> </w:t>
            </w:r>
          </w:p>
        </w:tc>
      </w:tr>
    </w:tbl>
    <w:p w:rsidR="00161BC6" w:rsidRDefault="00161BC6" w:rsidP="00874D3C">
      <w:pPr>
        <w:jc w:val="center"/>
        <w:rPr>
          <w:rFonts w:cs="Palatino-Roman"/>
          <w:b/>
          <w:sz w:val="28"/>
          <w:szCs w:val="28"/>
        </w:rPr>
      </w:pPr>
    </w:p>
    <w:p w:rsidR="002B4F0B" w:rsidRPr="002E3C70" w:rsidRDefault="002E3C70" w:rsidP="002E3C70">
      <w:pPr>
        <w:rPr>
          <w:b/>
          <w:sz w:val="24"/>
          <w:szCs w:val="24"/>
        </w:rPr>
      </w:pPr>
      <w:r>
        <w:rPr>
          <w:b/>
          <w:sz w:val="24"/>
          <w:szCs w:val="24"/>
        </w:rPr>
        <w:t xml:space="preserve"> </w:t>
      </w:r>
      <w:r w:rsidR="003C4F6A">
        <w:rPr>
          <w:b/>
          <w:color w:val="365F91" w:themeColor="accent1" w:themeShade="BF"/>
          <w:sz w:val="32"/>
          <w:szCs w:val="32"/>
        </w:rPr>
        <w:t xml:space="preserve">                           </w:t>
      </w:r>
    </w:p>
    <w:p w:rsidR="0099093B" w:rsidRPr="004B5F93" w:rsidRDefault="0099093B" w:rsidP="0099093B">
      <w:pPr>
        <w:spacing w:after="0"/>
        <w:jc w:val="center"/>
        <w:rPr>
          <w:b/>
          <w:color w:val="365F91" w:themeColor="accent1" w:themeShade="BF"/>
          <w:sz w:val="32"/>
          <w:szCs w:val="32"/>
        </w:rPr>
      </w:pPr>
    </w:p>
    <w:p w:rsidR="00970E7B" w:rsidRDefault="00970E7B" w:rsidP="002C0606">
      <w:pPr>
        <w:tabs>
          <w:tab w:val="left" w:pos="10440"/>
        </w:tabs>
        <w:rPr>
          <w:b/>
          <w:color w:val="1F497D" w:themeColor="text2"/>
          <w:sz w:val="28"/>
          <w:szCs w:val="28"/>
        </w:rPr>
      </w:pPr>
    </w:p>
    <w:p w:rsidR="00C3683C" w:rsidRDefault="00C3683C" w:rsidP="002C0606">
      <w:pPr>
        <w:tabs>
          <w:tab w:val="left" w:pos="10440"/>
        </w:tabs>
        <w:rPr>
          <w:b/>
          <w:color w:val="1F497D" w:themeColor="text2"/>
          <w:sz w:val="28"/>
          <w:szCs w:val="28"/>
        </w:rPr>
      </w:pPr>
    </w:p>
    <w:p w:rsidR="00C3683C" w:rsidRDefault="00C3683C" w:rsidP="002C0606">
      <w:pPr>
        <w:tabs>
          <w:tab w:val="left" w:pos="10440"/>
        </w:tabs>
        <w:rPr>
          <w:b/>
          <w:color w:val="1F497D" w:themeColor="text2"/>
          <w:sz w:val="28"/>
          <w:szCs w:val="28"/>
        </w:rPr>
      </w:pPr>
    </w:p>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2D1835" w:rsidRDefault="002D1835" w:rsidP="002D1835"/>
    <w:p w:rsidR="00A563A5" w:rsidRDefault="00A563A5" w:rsidP="002D1835">
      <w:pPr>
        <w:jc w:val="center"/>
      </w:pPr>
    </w:p>
    <w:p w:rsidR="00A563A5" w:rsidRDefault="00A563A5" w:rsidP="00A563A5">
      <w:pPr>
        <w:rPr>
          <w:i/>
          <w:iCs/>
          <w:color w:val="1F497D"/>
        </w:rPr>
      </w:pPr>
    </w:p>
    <w:p w:rsidR="00A563A5" w:rsidRPr="00A563A5" w:rsidRDefault="00A563A5" w:rsidP="00A563A5">
      <w:pPr>
        <w:pStyle w:val="ListParagraph"/>
        <w:ind w:left="405"/>
        <w:jc w:val="center"/>
        <w:rPr>
          <w:i/>
          <w:iCs/>
          <w:color w:val="000000" w:themeColor="text1"/>
        </w:rPr>
      </w:pPr>
      <w:r w:rsidRPr="00A563A5">
        <w:rPr>
          <w:i/>
          <w:iCs/>
          <w:color w:val="000000" w:themeColor="text1"/>
        </w:rPr>
        <w:t>*The expression, interpretation and negotiation of meaning within a given context. - Bill Van Patten</w:t>
      </w:r>
    </w:p>
    <w:sectPr w:rsidR="00A563A5" w:rsidRPr="00A563A5" w:rsidSect="0097020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720" w:rsidRDefault="00787720" w:rsidP="00EC3E72">
      <w:pPr>
        <w:spacing w:after="0" w:line="240" w:lineRule="auto"/>
      </w:pPr>
      <w:r>
        <w:separator/>
      </w:r>
    </w:p>
  </w:endnote>
  <w:endnote w:type="continuationSeparator" w:id="0">
    <w:p w:rsidR="00787720" w:rsidRDefault="00787720" w:rsidP="00EC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720" w:rsidRDefault="00787720" w:rsidP="00EC3E72">
      <w:pPr>
        <w:spacing w:after="0" w:line="240" w:lineRule="auto"/>
      </w:pPr>
      <w:r>
        <w:separator/>
      </w:r>
    </w:p>
  </w:footnote>
  <w:footnote w:type="continuationSeparator" w:id="0">
    <w:p w:rsidR="00787720" w:rsidRDefault="00787720" w:rsidP="00EC3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E72" w:rsidRDefault="004B5F93">
    <w:pPr>
      <w:pStyle w:val="Header"/>
    </w:pPr>
    <w:r>
      <w:rPr>
        <w:noProof/>
      </w:rPr>
      <w:drawing>
        <wp:inline distT="0" distB="0" distL="0" distR="0" wp14:anchorId="2F21D3A3" wp14:editId="3FC0D913">
          <wp:extent cx="1335024" cy="89001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Academic Standards Graphics-WLsm.jpg"/>
                  <pic:cNvPicPr/>
                </pic:nvPicPr>
                <pic:blipFill>
                  <a:blip r:embed="rId1">
                    <a:extLst>
                      <a:ext uri="{28A0092B-C50C-407E-A947-70E740481C1C}">
                        <a14:useLocalDpi xmlns:a14="http://schemas.microsoft.com/office/drawing/2010/main" val="0"/>
                      </a:ext>
                    </a:extLst>
                  </a:blip>
                  <a:stretch>
                    <a:fillRect/>
                  </a:stretch>
                </pic:blipFill>
                <pic:spPr>
                  <a:xfrm>
                    <a:off x="0" y="0"/>
                    <a:ext cx="1335024" cy="890016"/>
                  </a:xfrm>
                  <a:prstGeom prst="rect">
                    <a:avLst/>
                  </a:prstGeom>
                </pic:spPr>
              </pic:pic>
            </a:graphicData>
          </a:graphic>
        </wp:inline>
      </w:drawing>
    </w:r>
    <w:r w:rsidR="00EC3E72">
      <w:ptab w:relativeTo="margin" w:alignment="center" w:leader="none"/>
    </w:r>
    <w:r w:rsidR="00EC3E72">
      <w:ptab w:relativeTo="margin" w:alignment="right" w:leader="none"/>
    </w:r>
    <w:r w:rsidR="00EC3E72">
      <w:rPr>
        <w:noProof/>
      </w:rPr>
      <w:drawing>
        <wp:inline distT="0" distB="0" distL="0" distR="0" wp14:anchorId="645484F8" wp14:editId="197DFA7C">
          <wp:extent cx="2467624" cy="487680"/>
          <wp:effectExtent l="0" t="0" r="8890" b="762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474595" cy="48905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1F75"/>
    <w:multiLevelType w:val="hybridMultilevel"/>
    <w:tmpl w:val="E2A689D0"/>
    <w:lvl w:ilvl="0" w:tplc="3E465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52E84"/>
    <w:multiLevelType w:val="hybridMultilevel"/>
    <w:tmpl w:val="6840D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AA1CEC"/>
    <w:multiLevelType w:val="hybridMultilevel"/>
    <w:tmpl w:val="2B6422F4"/>
    <w:lvl w:ilvl="0" w:tplc="60B80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AB1B70"/>
    <w:multiLevelType w:val="hybridMultilevel"/>
    <w:tmpl w:val="CA6ACC38"/>
    <w:lvl w:ilvl="0" w:tplc="D4D484B6">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36326CCB"/>
    <w:multiLevelType w:val="hybridMultilevel"/>
    <w:tmpl w:val="0AFE0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B5679B"/>
    <w:multiLevelType w:val="hybridMultilevel"/>
    <w:tmpl w:val="9286B1DA"/>
    <w:lvl w:ilvl="0" w:tplc="2E002D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F12F09"/>
    <w:multiLevelType w:val="hybridMultilevel"/>
    <w:tmpl w:val="3D66F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86222A"/>
    <w:multiLevelType w:val="hybridMultilevel"/>
    <w:tmpl w:val="D50E1AFE"/>
    <w:lvl w:ilvl="0" w:tplc="16CA8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864225"/>
    <w:multiLevelType w:val="hybridMultilevel"/>
    <w:tmpl w:val="AD9017BE"/>
    <w:lvl w:ilvl="0" w:tplc="73FA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E569E2"/>
    <w:multiLevelType w:val="hybridMultilevel"/>
    <w:tmpl w:val="C49AF198"/>
    <w:lvl w:ilvl="0" w:tplc="4CD4B9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D66BCF"/>
    <w:multiLevelType w:val="hybridMultilevel"/>
    <w:tmpl w:val="68D6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723260"/>
    <w:multiLevelType w:val="hybridMultilevel"/>
    <w:tmpl w:val="23FAB742"/>
    <w:lvl w:ilvl="0" w:tplc="94AAC092">
      <w:numFmt w:val="bullet"/>
      <w:lvlText w:val=""/>
      <w:lvlJc w:val="left"/>
      <w:pPr>
        <w:ind w:left="1080" w:hanging="360"/>
      </w:pPr>
      <w:rPr>
        <w:rFonts w:ascii="Symbol" w:eastAsiaTheme="minorHAnsi"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0B0D76"/>
    <w:multiLevelType w:val="hybridMultilevel"/>
    <w:tmpl w:val="737CECDE"/>
    <w:lvl w:ilvl="0" w:tplc="F6E8B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F203E0"/>
    <w:multiLevelType w:val="hybridMultilevel"/>
    <w:tmpl w:val="A6B05070"/>
    <w:lvl w:ilvl="0" w:tplc="659694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CD5FB2"/>
    <w:multiLevelType w:val="hybridMultilevel"/>
    <w:tmpl w:val="D4D8F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14"/>
  </w:num>
  <w:num w:numId="4">
    <w:abstractNumId w:val="6"/>
  </w:num>
  <w:num w:numId="5">
    <w:abstractNumId w:val="1"/>
  </w:num>
  <w:num w:numId="6">
    <w:abstractNumId w:val="9"/>
  </w:num>
  <w:num w:numId="7">
    <w:abstractNumId w:val="0"/>
  </w:num>
  <w:num w:numId="8">
    <w:abstractNumId w:val="12"/>
  </w:num>
  <w:num w:numId="9">
    <w:abstractNumId w:val="8"/>
  </w:num>
  <w:num w:numId="10">
    <w:abstractNumId w:val="2"/>
  </w:num>
  <w:num w:numId="11">
    <w:abstractNumId w:val="7"/>
  </w:num>
  <w:num w:numId="12">
    <w:abstractNumId w:val="10"/>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72"/>
    <w:rsid w:val="0004037C"/>
    <w:rsid w:val="00060EE5"/>
    <w:rsid w:val="000B2D0F"/>
    <w:rsid w:val="000E6F65"/>
    <w:rsid w:val="000F69E3"/>
    <w:rsid w:val="00161BC6"/>
    <w:rsid w:val="00166355"/>
    <w:rsid w:val="001A1380"/>
    <w:rsid w:val="0023367C"/>
    <w:rsid w:val="002B4F0B"/>
    <w:rsid w:val="002C0606"/>
    <w:rsid w:val="002D1835"/>
    <w:rsid w:val="002E3C70"/>
    <w:rsid w:val="002F2245"/>
    <w:rsid w:val="00314733"/>
    <w:rsid w:val="00316876"/>
    <w:rsid w:val="00327D27"/>
    <w:rsid w:val="00370E0F"/>
    <w:rsid w:val="003C4F6A"/>
    <w:rsid w:val="003C5696"/>
    <w:rsid w:val="003E6063"/>
    <w:rsid w:val="004266D0"/>
    <w:rsid w:val="00434751"/>
    <w:rsid w:val="004836D1"/>
    <w:rsid w:val="00490A25"/>
    <w:rsid w:val="004B5633"/>
    <w:rsid w:val="004B5F93"/>
    <w:rsid w:val="004B79E6"/>
    <w:rsid w:val="004C3ADD"/>
    <w:rsid w:val="00555E09"/>
    <w:rsid w:val="005848DD"/>
    <w:rsid w:val="00596340"/>
    <w:rsid w:val="005E2ABB"/>
    <w:rsid w:val="005F1C32"/>
    <w:rsid w:val="00624AC0"/>
    <w:rsid w:val="00636EDF"/>
    <w:rsid w:val="00645F40"/>
    <w:rsid w:val="006F5724"/>
    <w:rsid w:val="00755C93"/>
    <w:rsid w:val="00761DB8"/>
    <w:rsid w:val="00787720"/>
    <w:rsid w:val="00822D67"/>
    <w:rsid w:val="00827934"/>
    <w:rsid w:val="00850838"/>
    <w:rsid w:val="00874D3C"/>
    <w:rsid w:val="008A6EDD"/>
    <w:rsid w:val="00970207"/>
    <w:rsid w:val="00970E7B"/>
    <w:rsid w:val="0099093B"/>
    <w:rsid w:val="00A563A5"/>
    <w:rsid w:val="00A81A88"/>
    <w:rsid w:val="00AB7FB6"/>
    <w:rsid w:val="00B45FE8"/>
    <w:rsid w:val="00B9392F"/>
    <w:rsid w:val="00B93A94"/>
    <w:rsid w:val="00BA686A"/>
    <w:rsid w:val="00C015F2"/>
    <w:rsid w:val="00C1323D"/>
    <w:rsid w:val="00C2750D"/>
    <w:rsid w:val="00C326A9"/>
    <w:rsid w:val="00C3683C"/>
    <w:rsid w:val="00C523B8"/>
    <w:rsid w:val="00C63428"/>
    <w:rsid w:val="00C772AE"/>
    <w:rsid w:val="00CA6116"/>
    <w:rsid w:val="00E044B3"/>
    <w:rsid w:val="00E21F3D"/>
    <w:rsid w:val="00E44C6D"/>
    <w:rsid w:val="00EB4622"/>
    <w:rsid w:val="00EC3E72"/>
    <w:rsid w:val="00EE1BA4"/>
    <w:rsid w:val="00FB65D0"/>
    <w:rsid w:val="00FF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E72"/>
  </w:style>
  <w:style w:type="paragraph" w:styleId="Footer">
    <w:name w:val="footer"/>
    <w:basedOn w:val="Normal"/>
    <w:link w:val="FooterChar"/>
    <w:uiPriority w:val="99"/>
    <w:unhideWhenUsed/>
    <w:rsid w:val="00EC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E72"/>
  </w:style>
  <w:style w:type="paragraph" w:styleId="BalloonText">
    <w:name w:val="Balloon Text"/>
    <w:basedOn w:val="Normal"/>
    <w:link w:val="BalloonTextChar"/>
    <w:uiPriority w:val="99"/>
    <w:semiHidden/>
    <w:unhideWhenUsed/>
    <w:rsid w:val="00EC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72"/>
    <w:rPr>
      <w:rFonts w:ascii="Tahoma" w:hAnsi="Tahoma" w:cs="Tahoma"/>
      <w:sz w:val="16"/>
      <w:szCs w:val="16"/>
    </w:rPr>
  </w:style>
  <w:style w:type="paragraph" w:styleId="ListParagraph">
    <w:name w:val="List Paragraph"/>
    <w:basedOn w:val="Normal"/>
    <w:uiPriority w:val="34"/>
    <w:qFormat/>
    <w:rsid w:val="001A1380"/>
    <w:pPr>
      <w:ind w:left="720"/>
      <w:contextualSpacing/>
    </w:pPr>
  </w:style>
  <w:style w:type="table" w:styleId="TableGrid">
    <w:name w:val="Table Grid"/>
    <w:basedOn w:val="TableNormal"/>
    <w:uiPriority w:val="59"/>
    <w:rsid w:val="00C0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C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E72"/>
  </w:style>
  <w:style w:type="paragraph" w:styleId="Footer">
    <w:name w:val="footer"/>
    <w:basedOn w:val="Normal"/>
    <w:link w:val="FooterChar"/>
    <w:uiPriority w:val="99"/>
    <w:unhideWhenUsed/>
    <w:rsid w:val="00EC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E72"/>
  </w:style>
  <w:style w:type="paragraph" w:styleId="BalloonText">
    <w:name w:val="Balloon Text"/>
    <w:basedOn w:val="Normal"/>
    <w:link w:val="BalloonTextChar"/>
    <w:uiPriority w:val="99"/>
    <w:semiHidden/>
    <w:unhideWhenUsed/>
    <w:rsid w:val="00EC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E72"/>
    <w:rPr>
      <w:rFonts w:ascii="Tahoma" w:hAnsi="Tahoma" w:cs="Tahoma"/>
      <w:sz w:val="16"/>
      <w:szCs w:val="16"/>
    </w:rPr>
  </w:style>
  <w:style w:type="paragraph" w:styleId="ListParagraph">
    <w:name w:val="List Paragraph"/>
    <w:basedOn w:val="Normal"/>
    <w:uiPriority w:val="34"/>
    <w:qFormat/>
    <w:rsid w:val="001A1380"/>
    <w:pPr>
      <w:ind w:left="720"/>
      <w:contextualSpacing/>
    </w:pPr>
  </w:style>
  <w:style w:type="table" w:styleId="TableGrid">
    <w:name w:val="Table Grid"/>
    <w:basedOn w:val="TableNormal"/>
    <w:uiPriority w:val="59"/>
    <w:rsid w:val="00C01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C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028">
      <w:bodyDiv w:val="1"/>
      <w:marLeft w:val="0"/>
      <w:marRight w:val="0"/>
      <w:marTop w:val="0"/>
      <w:marBottom w:val="0"/>
      <w:divBdr>
        <w:top w:val="none" w:sz="0" w:space="0" w:color="auto"/>
        <w:left w:val="none" w:sz="0" w:space="0" w:color="auto"/>
        <w:bottom w:val="none" w:sz="0" w:space="0" w:color="auto"/>
        <w:right w:val="none" w:sz="0" w:space="0" w:color="auto"/>
      </w:divBdr>
    </w:div>
    <w:div w:id="1731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41E9-D31D-4D85-A21A-649ECCCA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Buck, Lourdes</cp:lastModifiedBy>
  <cp:revision>20</cp:revision>
  <dcterms:created xsi:type="dcterms:W3CDTF">2016-09-23T22:28:00Z</dcterms:created>
  <dcterms:modified xsi:type="dcterms:W3CDTF">2017-01-24T20:13:00Z</dcterms:modified>
</cp:coreProperties>
</file>