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F77B0" w:rsidRPr="00380FE1" w:rsidRDefault="00000000">
      <w:pPr>
        <w:pBdr>
          <w:top w:val="nil"/>
          <w:left w:val="nil"/>
          <w:bottom w:val="nil"/>
          <w:right w:val="nil"/>
          <w:between w:val="nil"/>
        </w:pBdr>
        <w:spacing w:after="0" w:line="240" w:lineRule="auto"/>
        <w:jc w:val="center"/>
        <w:rPr>
          <w:rFonts w:ascii="Bookman Old Style" w:eastAsia="Bookman Old Style" w:hAnsi="Bookman Old Style" w:cs="Bookman Old Style"/>
          <w:b/>
          <w:color w:val="000000"/>
          <w:highlight w:val="yellow"/>
          <w:lang w:val="es-MX"/>
        </w:rPr>
      </w:pPr>
      <w:r w:rsidRPr="00380FE1">
        <w:rPr>
          <w:rFonts w:ascii="Bookman Old Style" w:eastAsia="Bookman Old Style" w:hAnsi="Bookman Old Style" w:cs="Bookman Old Style"/>
          <w:b/>
          <w:color w:val="000000"/>
          <w:highlight w:val="yellow"/>
          <w:lang w:val="es-MX"/>
        </w:rPr>
        <w:t>[</w:t>
      </w:r>
      <w:proofErr w:type="spellStart"/>
      <w:r w:rsidRPr="00380FE1">
        <w:rPr>
          <w:rFonts w:ascii="Bookman Old Style" w:eastAsia="Bookman Old Style" w:hAnsi="Bookman Old Style" w:cs="Bookman Old Style"/>
          <w:b/>
          <w:color w:val="000000"/>
          <w:highlight w:val="yellow"/>
          <w:lang w:val="es-MX"/>
        </w:rPr>
        <w:t>Insert</w:t>
      </w:r>
      <w:proofErr w:type="spellEnd"/>
      <w:r w:rsidRPr="00380FE1">
        <w:rPr>
          <w:rFonts w:ascii="Bookman Old Style" w:eastAsia="Bookman Old Style" w:hAnsi="Bookman Old Style" w:cs="Bookman Old Style"/>
          <w:b/>
          <w:color w:val="000000"/>
          <w:highlight w:val="yellow"/>
          <w:lang w:val="es-MX"/>
        </w:rPr>
        <w:t xml:space="preserve"> </w:t>
      </w:r>
      <w:proofErr w:type="spellStart"/>
      <w:r w:rsidRPr="00380FE1">
        <w:rPr>
          <w:rFonts w:ascii="Bookman Old Style" w:eastAsia="Bookman Old Style" w:hAnsi="Bookman Old Style" w:cs="Bookman Old Style"/>
          <w:b/>
          <w:color w:val="000000"/>
          <w:highlight w:val="yellow"/>
          <w:lang w:val="es-MX"/>
        </w:rPr>
        <w:t>School</w:t>
      </w:r>
      <w:proofErr w:type="spellEnd"/>
      <w:r w:rsidRPr="00380FE1">
        <w:rPr>
          <w:rFonts w:ascii="Bookman Old Style" w:eastAsia="Bookman Old Style" w:hAnsi="Bookman Old Style" w:cs="Bookman Old Style"/>
          <w:b/>
          <w:color w:val="000000"/>
          <w:highlight w:val="yellow"/>
          <w:lang w:val="es-MX"/>
        </w:rPr>
        <w:t xml:space="preserve"> </w:t>
      </w:r>
      <w:proofErr w:type="spellStart"/>
      <w:r w:rsidRPr="00380FE1">
        <w:rPr>
          <w:rFonts w:ascii="Bookman Old Style" w:eastAsia="Bookman Old Style" w:hAnsi="Bookman Old Style" w:cs="Bookman Old Style"/>
          <w:b/>
          <w:color w:val="000000"/>
          <w:highlight w:val="yellow"/>
          <w:lang w:val="es-MX"/>
        </w:rPr>
        <w:t>District</w:t>
      </w:r>
      <w:proofErr w:type="spellEnd"/>
      <w:r w:rsidRPr="00380FE1">
        <w:rPr>
          <w:rFonts w:ascii="Bookman Old Style" w:eastAsia="Bookman Old Style" w:hAnsi="Bookman Old Style" w:cs="Bookman Old Style"/>
          <w:b/>
          <w:color w:val="000000"/>
          <w:highlight w:val="yellow"/>
          <w:lang w:val="es-MX"/>
        </w:rPr>
        <w:t xml:space="preserve"> </w:t>
      </w:r>
      <w:proofErr w:type="spellStart"/>
      <w:r w:rsidRPr="00380FE1">
        <w:rPr>
          <w:rFonts w:ascii="Bookman Old Style" w:eastAsia="Bookman Old Style" w:hAnsi="Bookman Old Style" w:cs="Bookman Old Style"/>
          <w:b/>
          <w:color w:val="000000"/>
          <w:highlight w:val="yellow"/>
          <w:lang w:val="es-MX"/>
        </w:rPr>
        <w:t>Letterhead</w:t>
      </w:r>
      <w:proofErr w:type="spellEnd"/>
      <w:r w:rsidRPr="00380FE1">
        <w:rPr>
          <w:rFonts w:ascii="Bookman Old Style" w:eastAsia="Bookman Old Style" w:hAnsi="Bookman Old Style" w:cs="Bookman Old Style"/>
          <w:b/>
          <w:color w:val="000000"/>
          <w:highlight w:val="yellow"/>
          <w:lang w:val="es-MX"/>
        </w:rPr>
        <w:t>]</w:t>
      </w:r>
    </w:p>
    <w:p w14:paraId="00000003" w14:textId="77777777" w:rsidR="00CF77B0" w:rsidRPr="00380FE1" w:rsidRDefault="00CF77B0" w:rsidP="00F85AF0">
      <w:pPr>
        <w:spacing w:after="0"/>
        <w:rPr>
          <w:rFonts w:ascii="Bookman Old Style" w:eastAsia="Bookman Old Style" w:hAnsi="Bookman Old Style" w:cs="Bookman Old Style"/>
          <w:b/>
          <w:color w:val="000000"/>
          <w:lang w:val="es-MX"/>
        </w:rPr>
      </w:pPr>
    </w:p>
    <w:p w14:paraId="00000004" w14:textId="77777777" w:rsidR="00CF77B0" w:rsidRPr="00380FE1" w:rsidRDefault="00CF77B0">
      <w:pPr>
        <w:spacing w:after="0"/>
        <w:jc w:val="both"/>
        <w:rPr>
          <w:rFonts w:ascii="Bookman Old Style" w:eastAsia="Bookman Old Style" w:hAnsi="Bookman Old Style" w:cs="Bookman Old Style"/>
          <w:b/>
          <w:color w:val="000000"/>
          <w:lang w:val="es-MX"/>
        </w:rPr>
      </w:pPr>
    </w:p>
    <w:p w14:paraId="00000005" w14:textId="77777777" w:rsidR="00CF77B0" w:rsidRPr="00380FE1" w:rsidRDefault="00CF77B0">
      <w:pPr>
        <w:spacing w:after="0"/>
        <w:jc w:val="both"/>
        <w:rPr>
          <w:rFonts w:ascii="Bookman Old Style" w:eastAsia="Bookman Old Style" w:hAnsi="Bookman Old Style" w:cs="Bookman Old Style"/>
          <w:b/>
          <w:color w:val="000000"/>
          <w:lang w:val="es-MX"/>
        </w:rPr>
      </w:pPr>
    </w:p>
    <w:p w14:paraId="00000006" w14:textId="77777777" w:rsidR="00CF77B0" w:rsidRPr="00380FE1" w:rsidRDefault="00000000">
      <w:pPr>
        <w:spacing w:after="0"/>
        <w:jc w:val="both"/>
        <w:rPr>
          <w:color w:val="000000"/>
          <w:lang w:val="es-MX"/>
        </w:rPr>
      </w:pPr>
      <w:proofErr w:type="spellStart"/>
      <w:r w:rsidRPr="00380FE1">
        <w:rPr>
          <w:color w:val="000000"/>
          <w:lang w:val="es-MX"/>
        </w:rPr>
        <w:t>Dear</w:t>
      </w:r>
      <w:proofErr w:type="spellEnd"/>
      <w:r w:rsidRPr="00380FE1">
        <w:rPr>
          <w:color w:val="000000"/>
          <w:lang w:val="es-MX"/>
        </w:rPr>
        <w:t xml:space="preserve"> </w:t>
      </w:r>
      <w:proofErr w:type="spellStart"/>
      <w:r w:rsidRPr="00380FE1">
        <w:rPr>
          <w:color w:val="000000"/>
          <w:lang w:val="es-MX"/>
        </w:rPr>
        <w:t>Parent</w:t>
      </w:r>
      <w:proofErr w:type="spellEnd"/>
      <w:r w:rsidRPr="00380FE1">
        <w:rPr>
          <w:color w:val="000000"/>
          <w:lang w:val="es-MX"/>
        </w:rPr>
        <w:t>/Guardian:</w:t>
      </w:r>
    </w:p>
    <w:p w14:paraId="00000008" w14:textId="77777777" w:rsidR="00CF77B0" w:rsidRPr="00380FE1" w:rsidRDefault="00CF77B0">
      <w:pPr>
        <w:spacing w:after="0"/>
        <w:jc w:val="both"/>
        <w:rPr>
          <w:color w:val="000000"/>
          <w:lang w:val="es-MX"/>
        </w:rPr>
      </w:pPr>
    </w:p>
    <w:p w14:paraId="00000009" w14:textId="77777777" w:rsidR="00CF77B0" w:rsidRDefault="00000000">
      <w:pPr>
        <w:spacing w:after="0"/>
        <w:jc w:val="both"/>
      </w:pPr>
      <w:r>
        <w:rPr>
          <w:color w:val="000000"/>
          <w:highlight w:val="yellow"/>
        </w:rPr>
        <w:t>(Name of School)</w:t>
      </w:r>
      <w:r>
        <w:rPr>
          <w:color w:val="000000"/>
        </w:rPr>
        <w:t xml:space="preserve"> will provide no cost </w:t>
      </w:r>
      <w:r>
        <w:rPr>
          <w:highlight w:val="yellow"/>
        </w:rPr>
        <w:t>(Breakfast, Lunch, or Breakfast and Lunch)</w:t>
      </w:r>
      <w:r>
        <w:t xml:space="preserve"> for all students during the (School Year). </w:t>
      </w:r>
    </w:p>
    <w:p w14:paraId="0000000B" w14:textId="77777777" w:rsidR="00CF77B0" w:rsidRPr="00380FE1" w:rsidRDefault="00CF77B0">
      <w:pPr>
        <w:spacing w:after="0"/>
        <w:jc w:val="both"/>
        <w:rPr>
          <w:color w:val="000000"/>
          <w:lang w:val="es-MX"/>
        </w:rPr>
      </w:pPr>
    </w:p>
    <w:p w14:paraId="0000000C" w14:textId="77777777" w:rsidR="00CF77B0" w:rsidRDefault="00000000">
      <w:pPr>
        <w:spacing w:after="0"/>
        <w:jc w:val="both"/>
        <w:rPr>
          <w:color w:val="000000"/>
        </w:rPr>
      </w:pPr>
      <w:r>
        <w:rPr>
          <w:color w:val="000000"/>
        </w:rPr>
        <w:t xml:space="preserve">Research shows </w:t>
      </w:r>
      <w:r>
        <w:t>students</w:t>
      </w:r>
      <w:r>
        <w:rPr>
          <w:color w:val="000000"/>
        </w:rPr>
        <w:t xml:space="preserve"> perform better </w:t>
      </w:r>
      <w:r>
        <w:t>in</w:t>
      </w:r>
      <w:r>
        <w:rPr>
          <w:color w:val="000000"/>
        </w:rPr>
        <w:t xml:space="preserve"> school when they are not hungry. By providing</w:t>
      </w:r>
      <w:r>
        <w:t xml:space="preserve"> </w:t>
      </w:r>
      <w:r>
        <w:rPr>
          <w:highlight w:val="yellow"/>
        </w:rPr>
        <w:t>(Breakfast, Lunch, or Breakfast and Lunch)</w:t>
      </w:r>
      <w:r>
        <w:rPr>
          <w:color w:val="000000"/>
        </w:rPr>
        <w:t xml:space="preserve"> to all children at no c</w:t>
      </w:r>
      <w:r>
        <w:t>ost</w:t>
      </w:r>
      <w:r>
        <w:rPr>
          <w:color w:val="000000"/>
        </w:rPr>
        <w:t xml:space="preserve">, we </w:t>
      </w:r>
      <w:r>
        <w:t xml:space="preserve">better </w:t>
      </w:r>
      <w:r>
        <w:rPr>
          <w:color w:val="000000"/>
        </w:rPr>
        <w:t xml:space="preserve">support their learning. </w:t>
      </w:r>
    </w:p>
    <w:p w14:paraId="0000000E" w14:textId="77777777" w:rsidR="00CF77B0" w:rsidRPr="00380FE1" w:rsidRDefault="00CF77B0">
      <w:pPr>
        <w:spacing w:after="0"/>
        <w:jc w:val="both"/>
        <w:rPr>
          <w:color w:val="000000"/>
          <w:lang w:val="es-MX"/>
        </w:rPr>
      </w:pPr>
    </w:p>
    <w:p w14:paraId="0000000F" w14:textId="77777777" w:rsidR="00CF77B0" w:rsidRDefault="00000000">
      <w:pPr>
        <w:spacing w:after="0"/>
        <w:jc w:val="both"/>
      </w:pPr>
      <w:r>
        <w:t>Our school meals</w:t>
      </w:r>
      <w:r>
        <w:rPr>
          <w:color w:val="000000"/>
        </w:rPr>
        <w:t xml:space="preserve"> </w:t>
      </w:r>
      <w:r>
        <w:t>follow the U.S.</w:t>
      </w:r>
      <w:r>
        <w:rPr>
          <w:color w:val="000000"/>
        </w:rPr>
        <w:t xml:space="preserve"> Department of Agriculture guidelines for healthy school meals. When families choose no-cost school meals, our school gets more </w:t>
      </w:r>
      <w:proofErr w:type="gramStart"/>
      <w:r>
        <w:rPr>
          <w:color w:val="000000"/>
        </w:rPr>
        <w:t>funding</w:t>
      </w:r>
      <w:proofErr w:type="gramEnd"/>
      <w:r>
        <w:rPr>
          <w:color w:val="000000"/>
        </w:rPr>
        <w:t xml:space="preserve"> and our school community can connect over mealtimes. </w:t>
      </w:r>
      <w:r>
        <w:t xml:space="preserve">It also saves time and money, which your family can use on what’s most important. </w:t>
      </w:r>
    </w:p>
    <w:p w14:paraId="00000011" w14:textId="77777777" w:rsidR="00CF77B0" w:rsidRPr="00380FE1" w:rsidRDefault="00CF77B0">
      <w:pPr>
        <w:spacing w:after="0"/>
        <w:jc w:val="both"/>
        <w:rPr>
          <w:lang w:val="es-MX"/>
        </w:rPr>
      </w:pPr>
    </w:p>
    <w:p w14:paraId="00000012" w14:textId="230BB2E0" w:rsidR="00CF77B0" w:rsidRDefault="00000000">
      <w:pPr>
        <w:spacing w:after="0"/>
        <w:jc w:val="both"/>
      </w:pPr>
      <w:r>
        <w:t xml:space="preserve">Although all students will receive no cost meals, it’s still important for households to provide income information when requested. Gathering this information allows </w:t>
      </w:r>
      <w:r>
        <w:rPr>
          <w:highlight w:val="yellow"/>
        </w:rPr>
        <w:t>(Name of School/District)</w:t>
      </w:r>
      <w:r>
        <w:t xml:space="preserve"> to receive state and federal funding we qualify for. These funds go directly to schools to help cover the cost of meals and support after-school activities and other nutritional programs for students. Plus, qualifying households may be eligible to receive </w:t>
      </w:r>
      <w:proofErr w:type="gramStart"/>
      <w:r>
        <w:t>Summer</w:t>
      </w:r>
      <w:proofErr w:type="gramEnd"/>
      <w:r>
        <w:t xml:space="preserve"> EBT benefits, receive discounted school fees, class materials, bus </w:t>
      </w:r>
      <w:r w:rsidR="00380FE1">
        <w:t>passes</w:t>
      </w:r>
      <w:r>
        <w:t xml:space="preserve">, utilities support and more. </w:t>
      </w:r>
    </w:p>
    <w:p w14:paraId="00000014" w14:textId="77777777" w:rsidR="00CF77B0" w:rsidRPr="00380FE1" w:rsidRDefault="00CF77B0">
      <w:pPr>
        <w:spacing w:after="0"/>
        <w:jc w:val="both"/>
        <w:rPr>
          <w:color w:val="000000"/>
          <w:lang w:val="es-MX"/>
        </w:rPr>
      </w:pPr>
    </w:p>
    <w:p w14:paraId="00000015" w14:textId="77777777" w:rsidR="00CF77B0" w:rsidRDefault="00000000">
      <w:pPr>
        <w:spacing w:after="0"/>
        <w:jc w:val="both"/>
        <w:rPr>
          <w:color w:val="000000"/>
        </w:rPr>
      </w:pPr>
      <w:r>
        <w:rPr>
          <w:color w:val="000000"/>
        </w:rPr>
        <w:t xml:space="preserve">If you have any questions about the program, please contact us at </w:t>
      </w:r>
      <w:r>
        <w:rPr>
          <w:color w:val="000000"/>
          <w:highlight w:val="yellow"/>
        </w:rPr>
        <w:t>(phone #)</w:t>
      </w:r>
      <w:r>
        <w:rPr>
          <w:color w:val="000000"/>
        </w:rPr>
        <w:t xml:space="preserve">. </w:t>
      </w:r>
    </w:p>
    <w:p w14:paraId="00000017" w14:textId="77777777" w:rsidR="00CF77B0" w:rsidRPr="00380FE1" w:rsidRDefault="00CF77B0">
      <w:pPr>
        <w:spacing w:after="0"/>
        <w:jc w:val="both"/>
        <w:rPr>
          <w:color w:val="000000"/>
          <w:lang w:val="es-MX"/>
        </w:rPr>
      </w:pPr>
    </w:p>
    <w:p w14:paraId="00000018" w14:textId="77777777" w:rsidR="00CF77B0" w:rsidRDefault="00000000">
      <w:pPr>
        <w:spacing w:after="0"/>
        <w:jc w:val="both"/>
        <w:rPr>
          <w:color w:val="000000"/>
        </w:rPr>
      </w:pPr>
      <w:r>
        <w:rPr>
          <w:color w:val="000000"/>
        </w:rPr>
        <w:t>Sincerely,</w:t>
      </w:r>
    </w:p>
    <w:p w14:paraId="0000001A" w14:textId="77777777" w:rsidR="00CF77B0" w:rsidRDefault="00000000">
      <w:pPr>
        <w:spacing w:after="0"/>
        <w:jc w:val="both"/>
        <w:rPr>
          <w:color w:val="000000"/>
        </w:rPr>
      </w:pPr>
      <w:r>
        <w:rPr>
          <w:color w:val="000000"/>
          <w:highlight w:val="yellow"/>
        </w:rPr>
        <w:t>(Name and Title)</w:t>
      </w:r>
    </w:p>
    <w:p w14:paraId="0000001B" w14:textId="4A7B675F" w:rsidR="00CF77B0" w:rsidRDefault="00CF77B0">
      <w:pPr>
        <w:spacing w:after="0"/>
        <w:jc w:val="both"/>
        <w:rPr>
          <w:color w:val="741B47"/>
          <w:highlight w:val="yellow"/>
        </w:rPr>
      </w:pPr>
    </w:p>
    <w:p w14:paraId="0000001C" w14:textId="77777777" w:rsidR="00CF77B0" w:rsidRDefault="00CF77B0">
      <w:pPr>
        <w:spacing w:after="0"/>
        <w:jc w:val="both"/>
        <w:rPr>
          <w:b/>
        </w:rPr>
      </w:pPr>
    </w:p>
    <w:p w14:paraId="0000001D" w14:textId="77777777" w:rsidR="00CF77B0" w:rsidRDefault="00CF77B0">
      <w:pPr>
        <w:spacing w:after="0"/>
        <w:jc w:val="both"/>
        <w:rPr>
          <w:b/>
        </w:rPr>
      </w:pPr>
    </w:p>
    <w:p w14:paraId="69F016AC" w14:textId="77777777" w:rsidR="00F85AF0" w:rsidRDefault="00F85AF0">
      <w:pPr>
        <w:spacing w:after="0"/>
        <w:jc w:val="both"/>
        <w:rPr>
          <w:b/>
        </w:rPr>
      </w:pPr>
    </w:p>
    <w:p w14:paraId="5385917C" w14:textId="77777777" w:rsidR="00F85AF0" w:rsidRDefault="00F85AF0">
      <w:pPr>
        <w:spacing w:after="0"/>
        <w:jc w:val="both"/>
        <w:rPr>
          <w:b/>
        </w:rPr>
      </w:pPr>
    </w:p>
    <w:p w14:paraId="00DC2DFE" w14:textId="77777777" w:rsidR="00F85AF0" w:rsidRDefault="00F85AF0">
      <w:pPr>
        <w:spacing w:after="0"/>
        <w:jc w:val="both"/>
        <w:rPr>
          <w:b/>
        </w:rPr>
      </w:pPr>
    </w:p>
    <w:p w14:paraId="51433354" w14:textId="77777777" w:rsidR="00F85AF0" w:rsidRDefault="00F85AF0">
      <w:pPr>
        <w:spacing w:after="0"/>
        <w:jc w:val="both"/>
        <w:rPr>
          <w:b/>
        </w:rPr>
      </w:pPr>
    </w:p>
    <w:p w14:paraId="34437E86" w14:textId="77777777" w:rsidR="00F85AF0" w:rsidRDefault="00F85AF0">
      <w:pPr>
        <w:spacing w:after="0"/>
        <w:jc w:val="both"/>
        <w:rPr>
          <w:b/>
        </w:rPr>
      </w:pPr>
    </w:p>
    <w:p w14:paraId="34A94F71" w14:textId="77777777" w:rsidR="00F85AF0" w:rsidRDefault="00F85AF0">
      <w:pPr>
        <w:spacing w:after="0"/>
        <w:jc w:val="both"/>
        <w:rPr>
          <w:b/>
        </w:rPr>
      </w:pPr>
    </w:p>
    <w:p w14:paraId="2A6B6612" w14:textId="77777777" w:rsidR="00F85AF0" w:rsidRDefault="00F85AF0">
      <w:pPr>
        <w:spacing w:after="0"/>
        <w:jc w:val="both"/>
        <w:rPr>
          <w:b/>
        </w:rPr>
      </w:pPr>
    </w:p>
    <w:p w14:paraId="6E27EF91" w14:textId="77777777" w:rsidR="00F85AF0" w:rsidRDefault="00F85AF0">
      <w:pPr>
        <w:spacing w:after="0"/>
        <w:jc w:val="both"/>
        <w:rPr>
          <w:b/>
        </w:rPr>
      </w:pPr>
    </w:p>
    <w:p w14:paraId="66F3D0F8" w14:textId="77777777" w:rsidR="00F85AF0" w:rsidRDefault="00F85AF0">
      <w:pPr>
        <w:spacing w:after="0"/>
        <w:jc w:val="both"/>
        <w:rPr>
          <w:b/>
        </w:rPr>
      </w:pPr>
    </w:p>
    <w:p w14:paraId="6FF41C2C" w14:textId="77777777" w:rsidR="00F85AF0" w:rsidRDefault="00F85AF0">
      <w:pPr>
        <w:spacing w:after="0"/>
        <w:jc w:val="both"/>
        <w:rPr>
          <w:b/>
        </w:rPr>
      </w:pPr>
    </w:p>
    <w:p w14:paraId="78F36FA1" w14:textId="77777777" w:rsidR="00F85AF0" w:rsidRDefault="00F85AF0">
      <w:pPr>
        <w:spacing w:after="0"/>
        <w:jc w:val="both"/>
        <w:rPr>
          <w:b/>
        </w:rPr>
      </w:pPr>
    </w:p>
    <w:p w14:paraId="7B56A099" w14:textId="77777777" w:rsidR="00F85AF0" w:rsidRDefault="00F85AF0">
      <w:pPr>
        <w:spacing w:after="0"/>
        <w:jc w:val="both"/>
        <w:rPr>
          <w:b/>
        </w:rPr>
      </w:pPr>
    </w:p>
    <w:p w14:paraId="0000001E" w14:textId="77777777" w:rsidR="00CF77B0" w:rsidRDefault="00CF77B0">
      <w:pPr>
        <w:spacing w:after="0"/>
        <w:jc w:val="both"/>
        <w:rPr>
          <w:b/>
        </w:rPr>
      </w:pPr>
    </w:p>
    <w:p w14:paraId="0000001F" w14:textId="77777777" w:rsidR="00CF77B0" w:rsidRDefault="00CF77B0">
      <w:pPr>
        <w:spacing w:after="0"/>
        <w:jc w:val="both"/>
        <w:rPr>
          <w:b/>
        </w:rPr>
      </w:pPr>
    </w:p>
    <w:p w14:paraId="00000020" w14:textId="1A3CC5BC" w:rsidR="00CF77B0" w:rsidRDefault="00000000">
      <w:pPr>
        <w:spacing w:after="0"/>
        <w:jc w:val="both"/>
        <w:rPr>
          <w:color w:val="000000"/>
        </w:rPr>
      </w:pPr>
      <w:bookmarkStart w:id="0" w:name="_Hlk165544687"/>
      <w:r>
        <w:rPr>
          <w:b/>
        </w:rPr>
        <w:lastRenderedPageBreak/>
        <w:t xml:space="preserve">Non-discrimination Statement: </w:t>
      </w:r>
    </w:p>
    <w:p w14:paraId="00000021" w14:textId="77777777" w:rsidR="00CF77B0" w:rsidRDefault="00000000">
      <w:pPr>
        <w:shd w:val="clear" w:color="auto" w:fill="FFFFFF"/>
        <w:spacing w:before="280" w:after="280" w:line="240" w:lineRule="auto"/>
        <w:rPr>
          <w:color w:val="1B1B1B"/>
        </w:rPr>
      </w:pPr>
      <w:r>
        <w:rPr>
          <w:color w:val="1B1B1B"/>
        </w:rPr>
        <w:t xml:space="preserve">In accordance with federal civil rights law and U.S. Department of Agriculture (USDA) civil rights regulations and policies, this institution is prohibited from discriminating </w:t>
      </w:r>
      <w:proofErr w:type="gramStart"/>
      <w:r>
        <w:rPr>
          <w:color w:val="1B1B1B"/>
        </w:rPr>
        <w:t>on the basis of</w:t>
      </w:r>
      <w:proofErr w:type="gramEnd"/>
      <w:r>
        <w:rPr>
          <w:color w:val="1B1B1B"/>
        </w:rPr>
        <w:t xml:space="preserve"> race, color, national origin, sex (including gender identity and sexual orientation), disability, age, or reprisal or retaliation for prior civil rights activity.</w:t>
      </w:r>
    </w:p>
    <w:p w14:paraId="00000022" w14:textId="77777777" w:rsidR="00CF77B0" w:rsidRDefault="00000000">
      <w:pPr>
        <w:shd w:val="clear" w:color="auto" w:fill="FFFFFF"/>
        <w:spacing w:before="280" w:after="280" w:line="240" w:lineRule="auto"/>
        <w:rPr>
          <w:color w:val="1B1B1B"/>
        </w:rPr>
      </w:pPr>
      <w:r>
        <w:rPr>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23" w14:textId="77777777" w:rsidR="00CF77B0" w:rsidRDefault="00000000">
      <w:pPr>
        <w:shd w:val="clear" w:color="auto" w:fill="FFFFFF"/>
        <w:spacing w:before="280" w:after="280" w:line="240" w:lineRule="auto"/>
        <w:rPr>
          <w:color w:val="1B1B1B"/>
        </w:rPr>
      </w:pPr>
      <w:r>
        <w:rPr>
          <w:color w:val="1B1B1B"/>
        </w:rPr>
        <w:t>To file a program discrimination complaint, a Complainant should complete a Form AD-3027, USDA Program Discrimination Complaint Form which can be obtained online at: </w:t>
      </w:r>
      <w:hyperlink r:id="rId6">
        <w:r>
          <w:rPr>
            <w:color w:val="2E8540"/>
            <w:u w:val="single"/>
          </w:rPr>
          <w:t>https://www.usda.gov/sites/default/files/documents/USDA-OASCR%20P-Complaint-Form-0508-0002-508-11-28-17Fax2Mail.pdf</w:t>
        </w:r>
      </w:hyperlink>
      <w:r>
        <w:rPr>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24" w14:textId="77777777" w:rsidR="00CF77B0" w:rsidRDefault="00000000">
      <w:pPr>
        <w:numPr>
          <w:ilvl w:val="0"/>
          <w:numId w:val="1"/>
        </w:numPr>
        <w:shd w:val="clear" w:color="auto" w:fill="FFFFFF"/>
        <w:spacing w:before="280" w:after="0" w:line="240" w:lineRule="auto"/>
        <w:rPr>
          <w:color w:val="1B1B1B"/>
        </w:rPr>
      </w:pPr>
      <w:r>
        <w:rPr>
          <w:b/>
          <w:color w:val="1B1B1B"/>
        </w:rPr>
        <w:t>mail:</w:t>
      </w:r>
      <w:r>
        <w:rPr>
          <w:color w:val="1B1B1B"/>
        </w:rPr>
        <w:br/>
        <w:t>U.S. Department of Agriculture</w:t>
      </w:r>
      <w:r>
        <w:rPr>
          <w:color w:val="1B1B1B"/>
        </w:rPr>
        <w:br/>
        <w:t>Office of the Assistant Secretary for Civil Rights</w:t>
      </w:r>
      <w:r>
        <w:rPr>
          <w:color w:val="1B1B1B"/>
        </w:rPr>
        <w:br/>
        <w:t>1400 Independence Avenue, SW</w:t>
      </w:r>
      <w:r>
        <w:rPr>
          <w:color w:val="1B1B1B"/>
        </w:rPr>
        <w:br/>
        <w:t>Washington, D.C. 20250-9410; or</w:t>
      </w:r>
    </w:p>
    <w:p w14:paraId="00000025" w14:textId="77777777" w:rsidR="00CF77B0" w:rsidRDefault="00000000">
      <w:pPr>
        <w:numPr>
          <w:ilvl w:val="0"/>
          <w:numId w:val="1"/>
        </w:numPr>
        <w:shd w:val="clear" w:color="auto" w:fill="FFFFFF"/>
        <w:spacing w:after="0" w:line="240" w:lineRule="auto"/>
        <w:rPr>
          <w:color w:val="1B1B1B"/>
        </w:rPr>
      </w:pPr>
      <w:r>
        <w:rPr>
          <w:b/>
          <w:color w:val="1B1B1B"/>
        </w:rPr>
        <w:t>fax:</w:t>
      </w:r>
      <w:r>
        <w:rPr>
          <w:color w:val="1B1B1B"/>
        </w:rPr>
        <w:br/>
        <w:t>(833) 256-1665 or (202) 690-7442; or</w:t>
      </w:r>
    </w:p>
    <w:p w14:paraId="00000026" w14:textId="77777777" w:rsidR="00CF77B0" w:rsidRDefault="00000000">
      <w:pPr>
        <w:numPr>
          <w:ilvl w:val="0"/>
          <w:numId w:val="1"/>
        </w:numPr>
        <w:shd w:val="clear" w:color="auto" w:fill="FFFFFF"/>
        <w:spacing w:after="280" w:line="240" w:lineRule="auto"/>
        <w:rPr>
          <w:color w:val="1B1B1B"/>
        </w:rPr>
      </w:pPr>
      <w:r>
        <w:rPr>
          <w:b/>
          <w:color w:val="1B1B1B"/>
        </w:rPr>
        <w:t>email:</w:t>
      </w:r>
      <w:r>
        <w:rPr>
          <w:color w:val="1B1B1B"/>
        </w:rPr>
        <w:br/>
      </w:r>
      <w:hyperlink r:id="rId7">
        <w:r>
          <w:rPr>
            <w:color w:val="2E8540"/>
            <w:u w:val="single"/>
          </w:rPr>
          <w:t>program.intake@usda.gov</w:t>
        </w:r>
      </w:hyperlink>
    </w:p>
    <w:p w14:paraId="00000027" w14:textId="77777777" w:rsidR="00CF77B0" w:rsidRDefault="00000000">
      <w:pPr>
        <w:shd w:val="clear" w:color="auto" w:fill="FFFFFF"/>
        <w:spacing w:before="280" w:after="280" w:line="240" w:lineRule="auto"/>
        <w:rPr>
          <w:color w:val="1B1B1B"/>
        </w:rPr>
      </w:pPr>
      <w:r>
        <w:rPr>
          <w:color w:val="1B1B1B"/>
        </w:rPr>
        <w:t>This institution is an equal opportunity provider.</w:t>
      </w:r>
    </w:p>
    <w:bookmarkEnd w:id="0"/>
    <w:p w14:paraId="00000028" w14:textId="77777777" w:rsidR="00CF77B0" w:rsidRDefault="00CF77B0">
      <w:pPr>
        <w:spacing w:after="0"/>
      </w:pPr>
    </w:p>
    <w:sectPr w:rsidR="00CF77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169A"/>
    <w:multiLevelType w:val="multilevel"/>
    <w:tmpl w:val="6AF830F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4157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B0"/>
    <w:rsid w:val="00380FE1"/>
    <w:rsid w:val="00CF77B0"/>
    <w:rsid w:val="00F8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A394"/>
  <w15:docId w15:val="{58E77EB5-283F-4B92-B8B7-F6504AFD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aliases w:val="Body Text Calibri"/>
    <w:basedOn w:val="Normal"/>
    <w:link w:val="BodyTextChar"/>
    <w:unhideWhenUsed/>
    <w:rsid w:val="001A686E"/>
    <w:pPr>
      <w:spacing w:after="100" w:afterAutospacing="1" w:line="240" w:lineRule="auto"/>
    </w:pPr>
    <w:rPr>
      <w:rFonts w:eastAsiaTheme="minorEastAsia"/>
      <w:szCs w:val="24"/>
    </w:rPr>
  </w:style>
  <w:style w:type="character" w:customStyle="1" w:styleId="BodyTextChar">
    <w:name w:val="Body Text Char"/>
    <w:aliases w:val="Body Text Calibri Char"/>
    <w:basedOn w:val="DefaultParagraphFont"/>
    <w:link w:val="BodyText"/>
    <w:rsid w:val="001A686E"/>
    <w:rPr>
      <w:rFonts w:ascii="Calibri" w:eastAsiaTheme="minorEastAsia" w:hAnsi="Calibri"/>
      <w:szCs w:val="24"/>
    </w:rPr>
  </w:style>
  <w:style w:type="character" w:styleId="Hyperlink">
    <w:name w:val="Hyperlink"/>
    <w:basedOn w:val="DefaultParagraphFont"/>
    <w:uiPriority w:val="99"/>
    <w:rsid w:val="001A686E"/>
    <w:rPr>
      <w:color w:val="0000FF"/>
      <w:u w:val="single"/>
    </w:rPr>
  </w:style>
  <w:style w:type="character" w:styleId="UnresolvedMention">
    <w:name w:val="Unresolved Mention"/>
    <w:basedOn w:val="DefaultParagraphFont"/>
    <w:uiPriority w:val="99"/>
    <w:semiHidden/>
    <w:unhideWhenUsed/>
    <w:rsid w:val="00C8215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aVSQ+Gb0TXdKjwoaZ9vsQma8w==">CgMxLjAaJwoBMBIiCiAIBCocCgtBQUFCSzRUdTVwdxAIGgtBQUFCSzRUdTVwdyLwCQoLQUFBQks0VHU1cHcSvgkKC0FBQUJLNFR1NXB3EgtBQUFCSzRUdTVwdxofCgl0ZXh0L2h0bWwSEmRvIG5vdCB0cmFuc2NyZWF0ZSIgCgp0ZXh0L3BsYWluEhJkbyBub3QgdHJhbnNjcmVhdGUqGyIVMTAyNTY0Nzk4Mjg0NDQ4NzQxMDg5KAA4ADCYx8zb8TE4mMfM2/ExSvoHCgp0ZXh0L3BsYWluEusHTm9uLWRpc2NyaW1pbmF0aW9uIFN0YXRlbWVudDog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2910</Characters>
  <Application>Microsoft Office Word</Application>
  <DocSecurity>0</DocSecurity>
  <Lines>72</Lines>
  <Paragraphs>18</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Wetherbee, Benjamin</dc:creator>
  <cp:lastModifiedBy>RJ Johnson (They/Them)</cp:lastModifiedBy>
  <cp:revision>2</cp:revision>
  <dcterms:created xsi:type="dcterms:W3CDTF">2024-05-02T18:22:00Z</dcterms:created>
  <dcterms:modified xsi:type="dcterms:W3CDTF">2024-05-02T18:22:00Z</dcterms:modified>
</cp:coreProperties>
</file>