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2DA38" w14:textId="77777777" w:rsidR="008D4FDF" w:rsidRDefault="00BD1DC2">
      <w:pPr>
        <w:jc w:val="center"/>
      </w:pPr>
      <w:r>
        <w:rPr>
          <w:noProof/>
        </w:rPr>
        <w:drawing>
          <wp:inline distT="0" distB="0" distL="0" distR="0" wp14:anchorId="0DC3699F" wp14:editId="549EDF9D">
            <wp:extent cx="2371045" cy="404813"/>
            <wp:effectExtent l="0" t="0" r="0" b="0"/>
            <wp:docPr id="13" name="image1.png" descr="Colorado Deparment of Education Logo. "/>
            <wp:cNvGraphicFramePr/>
            <a:graphic xmlns:a="http://schemas.openxmlformats.org/drawingml/2006/main">
              <a:graphicData uri="http://schemas.openxmlformats.org/drawingml/2006/picture">
                <pic:pic xmlns:pic="http://schemas.openxmlformats.org/drawingml/2006/picture">
                  <pic:nvPicPr>
                    <pic:cNvPr id="13" name="image1.png" descr="Colorado Deparment of Education Logo. "/>
                    <pic:cNvPicPr preferRelativeResize="0"/>
                  </pic:nvPicPr>
                  <pic:blipFill>
                    <a:blip r:embed="rId8"/>
                    <a:srcRect/>
                    <a:stretch>
                      <a:fillRect/>
                    </a:stretch>
                  </pic:blipFill>
                  <pic:spPr>
                    <a:xfrm>
                      <a:off x="0" y="0"/>
                      <a:ext cx="2371045" cy="404813"/>
                    </a:xfrm>
                    <a:prstGeom prst="rect">
                      <a:avLst/>
                    </a:prstGeom>
                    <a:ln/>
                  </pic:spPr>
                </pic:pic>
              </a:graphicData>
            </a:graphic>
          </wp:inline>
        </w:drawing>
      </w:r>
    </w:p>
    <w:p w14:paraId="2B1A7AD3" w14:textId="77777777" w:rsidR="008D4FDF" w:rsidRDefault="008D4FDF">
      <w:pPr>
        <w:jc w:val="center"/>
        <w:rPr>
          <w:sz w:val="22"/>
          <w:szCs w:val="22"/>
        </w:rPr>
      </w:pPr>
    </w:p>
    <w:p w14:paraId="31E6BA62" w14:textId="77777777" w:rsidR="008D4FDF" w:rsidRDefault="00BD1DC2">
      <w:pPr>
        <w:spacing w:line="276" w:lineRule="auto"/>
        <w:jc w:val="center"/>
        <w:rPr>
          <w:rFonts w:ascii="Arial" w:eastAsia="Arial" w:hAnsi="Arial" w:cs="Arial"/>
          <w:sz w:val="22"/>
          <w:szCs w:val="22"/>
        </w:rPr>
      </w:pPr>
      <w:r>
        <w:rPr>
          <w:rFonts w:ascii="Arial" w:eastAsia="Arial" w:hAnsi="Arial" w:cs="Arial"/>
          <w:b/>
          <w:sz w:val="22"/>
          <w:szCs w:val="22"/>
        </w:rPr>
        <w:t>Facility Schools Work Group Meeting Notes</w:t>
      </w:r>
    </w:p>
    <w:p w14:paraId="7B89113F" w14:textId="77777777" w:rsidR="008D4FDF" w:rsidRDefault="00BD1DC2">
      <w:pPr>
        <w:spacing w:line="276" w:lineRule="auto"/>
        <w:jc w:val="center"/>
        <w:rPr>
          <w:rFonts w:ascii="Arial" w:eastAsia="Arial" w:hAnsi="Arial" w:cs="Arial"/>
          <w:b/>
        </w:rPr>
      </w:pPr>
      <w:r>
        <w:rPr>
          <w:rFonts w:ascii="Arial" w:eastAsia="Arial" w:hAnsi="Arial" w:cs="Arial"/>
          <w:sz w:val="22"/>
          <w:szCs w:val="22"/>
        </w:rPr>
        <w:t>April 3, 2025, 9:00 - 10:30 AM Virtual - Zoom Meeting</w:t>
      </w:r>
    </w:p>
    <w:p w14:paraId="5467A14F" w14:textId="77777777" w:rsidR="008D4FDF" w:rsidRDefault="008D4FDF">
      <w:pPr>
        <w:rPr>
          <w:rFonts w:ascii="Arial" w:eastAsia="Arial" w:hAnsi="Arial" w:cs="Arial"/>
          <w:b/>
          <w:color w:val="0070C0"/>
          <w:sz w:val="26"/>
          <w:szCs w:val="26"/>
          <w:highlight w:val="yellow"/>
          <w:u w:val="single"/>
        </w:rPr>
      </w:pPr>
    </w:p>
    <w:p w14:paraId="26A4449E" w14:textId="77777777" w:rsidR="008D4FDF" w:rsidRDefault="008D4FDF">
      <w:pPr>
        <w:rPr>
          <w:rFonts w:ascii="Arial" w:eastAsia="Arial" w:hAnsi="Arial" w:cs="Arial"/>
          <w:b/>
          <w:color w:val="0070C0"/>
          <w:sz w:val="26"/>
          <w:szCs w:val="26"/>
          <w:highlight w:val="yellow"/>
          <w:u w:val="single"/>
        </w:rPr>
      </w:pPr>
    </w:p>
    <w:p w14:paraId="06E930FA" w14:textId="77777777" w:rsidR="008D4FDF" w:rsidRDefault="00BD1DC2">
      <w:pPr>
        <w:spacing w:line="276" w:lineRule="auto"/>
        <w:rPr>
          <w:rFonts w:ascii="Arial" w:eastAsia="Arial" w:hAnsi="Arial" w:cs="Arial"/>
          <w:sz w:val="20"/>
          <w:szCs w:val="20"/>
        </w:rPr>
      </w:pPr>
      <w:r>
        <w:rPr>
          <w:rFonts w:ascii="Arial" w:eastAsia="Arial" w:hAnsi="Arial" w:cs="Arial"/>
          <w:b/>
          <w:sz w:val="20"/>
          <w:szCs w:val="20"/>
        </w:rPr>
        <w:t xml:space="preserve">Work Group Members Present: </w:t>
      </w:r>
      <w:r>
        <w:rPr>
          <w:rFonts w:ascii="Arial" w:eastAsia="Arial" w:hAnsi="Arial" w:cs="Arial"/>
          <w:sz w:val="20"/>
          <w:szCs w:val="20"/>
        </w:rPr>
        <w:t xml:space="preserve">Danny Combs, Wendy Dunaway, Mylynda Herrick, Kathleen Homan, Sonjia Hunt, Steven Ramirez, Robin Singer, Judy Stirman, Ann Symalla, Lindsey Tapp, Barb Taylor, Kevin Tracy, Susan </w:t>
      </w:r>
      <w:proofErr w:type="spellStart"/>
      <w:r>
        <w:rPr>
          <w:rFonts w:ascii="Arial" w:eastAsia="Arial" w:hAnsi="Arial" w:cs="Arial"/>
          <w:sz w:val="20"/>
          <w:szCs w:val="20"/>
        </w:rPr>
        <w:t>Udenberg</w:t>
      </w:r>
      <w:proofErr w:type="spellEnd"/>
      <w:r>
        <w:rPr>
          <w:rFonts w:ascii="Arial" w:eastAsia="Arial" w:hAnsi="Arial" w:cs="Arial"/>
          <w:sz w:val="20"/>
          <w:szCs w:val="20"/>
        </w:rPr>
        <w:t>, Callan Ware, Laura Writebol</w:t>
      </w:r>
    </w:p>
    <w:p w14:paraId="3B08968D" w14:textId="77777777" w:rsidR="008D4FDF" w:rsidRDefault="008D4FDF">
      <w:pPr>
        <w:spacing w:line="276" w:lineRule="auto"/>
        <w:rPr>
          <w:rFonts w:ascii="Arial" w:eastAsia="Arial" w:hAnsi="Arial" w:cs="Arial"/>
          <w:sz w:val="20"/>
          <w:szCs w:val="20"/>
        </w:rPr>
      </w:pPr>
    </w:p>
    <w:p w14:paraId="53846DBF" w14:textId="77777777" w:rsidR="008D4FDF" w:rsidRDefault="00BD1DC2">
      <w:pPr>
        <w:spacing w:line="276" w:lineRule="auto"/>
        <w:rPr>
          <w:rFonts w:ascii="Arial" w:eastAsia="Arial" w:hAnsi="Arial" w:cs="Arial"/>
          <w:sz w:val="20"/>
          <w:szCs w:val="20"/>
        </w:rPr>
      </w:pPr>
      <w:r>
        <w:rPr>
          <w:rFonts w:ascii="Arial" w:eastAsia="Arial" w:hAnsi="Arial" w:cs="Arial"/>
          <w:b/>
          <w:sz w:val="20"/>
          <w:szCs w:val="20"/>
        </w:rPr>
        <w:t>Work Group Members Absent:</w:t>
      </w:r>
      <w:r>
        <w:rPr>
          <w:rFonts w:ascii="Arial" w:eastAsia="Arial" w:hAnsi="Arial" w:cs="Arial"/>
          <w:sz w:val="20"/>
          <w:szCs w:val="20"/>
        </w:rPr>
        <w:t xml:space="preserve"> Sarah Baumgartner, Laurie Burney, Erin Osterhaus, Deon Roberts  </w:t>
      </w:r>
    </w:p>
    <w:p w14:paraId="1A732004" w14:textId="77777777" w:rsidR="008D4FDF" w:rsidRDefault="00BD1DC2">
      <w:pPr>
        <w:spacing w:line="276" w:lineRule="auto"/>
        <w:rPr>
          <w:rFonts w:ascii="Arial" w:eastAsia="Arial" w:hAnsi="Arial" w:cs="Arial"/>
          <w:b/>
          <w:sz w:val="20"/>
          <w:szCs w:val="20"/>
        </w:rPr>
      </w:pPr>
      <w:r>
        <w:rPr>
          <w:rFonts w:ascii="Arial" w:eastAsia="Arial" w:hAnsi="Arial" w:cs="Arial"/>
          <w:sz w:val="20"/>
          <w:szCs w:val="20"/>
        </w:rPr>
        <w:t xml:space="preserve"> </w:t>
      </w:r>
    </w:p>
    <w:p w14:paraId="4D9FF4F2" w14:textId="77777777" w:rsidR="008D4FDF" w:rsidRDefault="00BD1DC2">
      <w:pPr>
        <w:spacing w:line="276" w:lineRule="auto"/>
        <w:rPr>
          <w:rFonts w:ascii="Arial" w:eastAsia="Arial" w:hAnsi="Arial" w:cs="Arial"/>
          <w:b/>
          <w:sz w:val="20"/>
          <w:szCs w:val="20"/>
          <w:shd w:val="clear" w:color="auto" w:fill="A4C2F4"/>
        </w:rPr>
      </w:pPr>
      <w:r>
        <w:rPr>
          <w:rFonts w:ascii="Arial" w:eastAsia="Arial" w:hAnsi="Arial" w:cs="Arial"/>
          <w:b/>
          <w:sz w:val="20"/>
          <w:szCs w:val="20"/>
        </w:rPr>
        <w:t xml:space="preserve">Guest Observers: </w:t>
      </w:r>
      <w:r>
        <w:rPr>
          <w:rFonts w:ascii="Arial" w:eastAsia="Arial" w:hAnsi="Arial" w:cs="Arial"/>
          <w:sz w:val="20"/>
          <w:szCs w:val="20"/>
        </w:rPr>
        <w:t>Sara Pielsticker, Annie Haskins, Celina Ulibarri</w:t>
      </w:r>
    </w:p>
    <w:p w14:paraId="0C84CA4C" w14:textId="77777777" w:rsidR="008D4FDF" w:rsidRDefault="00BD1DC2">
      <w:pPr>
        <w:spacing w:line="276" w:lineRule="auto"/>
        <w:rPr>
          <w:rFonts w:ascii="Arial" w:eastAsia="Arial" w:hAnsi="Arial" w:cs="Arial"/>
          <w:sz w:val="20"/>
          <w:szCs w:val="20"/>
        </w:rPr>
      </w:pPr>
      <w:r>
        <w:rPr>
          <w:rFonts w:ascii="Arial" w:eastAsia="Arial" w:hAnsi="Arial" w:cs="Arial"/>
          <w:b/>
          <w:sz w:val="20"/>
          <w:szCs w:val="20"/>
        </w:rPr>
        <w:t>Facilitator, CDE &amp; Support:</w:t>
      </w:r>
      <w:r>
        <w:rPr>
          <w:rFonts w:ascii="Arial" w:eastAsia="Arial" w:hAnsi="Arial" w:cs="Arial"/>
          <w:sz w:val="20"/>
          <w:szCs w:val="20"/>
        </w:rPr>
        <w:t xml:space="preserve"> Virginia (G) Winter, Equinox Consultancy LLC, Allie Miller, Darren Serrato</w:t>
      </w:r>
    </w:p>
    <w:p w14:paraId="5D518C0A" w14:textId="77777777" w:rsidR="008D4FDF" w:rsidRDefault="00BD1DC2">
      <w:pPr>
        <w:spacing w:line="276" w:lineRule="auto"/>
        <w:rPr>
          <w:rFonts w:ascii="Arial" w:eastAsia="Arial" w:hAnsi="Arial" w:cs="Arial"/>
          <w:sz w:val="20"/>
          <w:szCs w:val="20"/>
        </w:rPr>
      </w:pPr>
      <w:r>
        <w:rPr>
          <w:rFonts w:ascii="Arial" w:eastAsia="Arial" w:hAnsi="Arial" w:cs="Arial"/>
          <w:b/>
          <w:sz w:val="20"/>
          <w:szCs w:val="20"/>
        </w:rPr>
        <w:t>Analysis Team:</w:t>
      </w:r>
      <w:r>
        <w:rPr>
          <w:rFonts w:ascii="Arial" w:eastAsia="Arial" w:hAnsi="Arial" w:cs="Arial"/>
          <w:sz w:val="20"/>
          <w:szCs w:val="20"/>
        </w:rPr>
        <w:t xml:space="preserve"> Nick Stellitano – Dillinger Research &amp; Applied Data</w:t>
      </w:r>
    </w:p>
    <w:p w14:paraId="1C7651F2" w14:textId="77777777" w:rsidR="008D4FDF" w:rsidRDefault="008D4FDF">
      <w:pPr>
        <w:spacing w:line="276" w:lineRule="auto"/>
        <w:rPr>
          <w:rFonts w:ascii="Arial" w:eastAsia="Arial" w:hAnsi="Arial" w:cs="Arial"/>
          <w:sz w:val="20"/>
          <w:szCs w:val="20"/>
        </w:rPr>
      </w:pPr>
    </w:p>
    <w:p w14:paraId="0232837D" w14:textId="77777777" w:rsidR="008D4FDF" w:rsidRDefault="00BD1DC2">
      <w:pPr>
        <w:spacing w:line="276" w:lineRule="auto"/>
        <w:rPr>
          <w:rFonts w:ascii="Arial" w:eastAsia="Arial" w:hAnsi="Arial" w:cs="Arial"/>
          <w:b/>
          <w:sz w:val="20"/>
          <w:szCs w:val="20"/>
          <w:u w:val="single"/>
        </w:rPr>
      </w:pPr>
      <w:r>
        <w:rPr>
          <w:rFonts w:ascii="Arial" w:eastAsia="Arial" w:hAnsi="Arial" w:cs="Arial"/>
          <w:b/>
          <w:sz w:val="20"/>
          <w:szCs w:val="20"/>
        </w:rPr>
        <w:t xml:space="preserve">Public Comment: </w:t>
      </w:r>
      <w:r>
        <w:rPr>
          <w:rFonts w:ascii="Arial" w:eastAsia="Arial" w:hAnsi="Arial" w:cs="Arial"/>
          <w:sz w:val="20"/>
          <w:szCs w:val="20"/>
        </w:rPr>
        <w:t>Sara Pielsticker, Colorado Disability Law</w:t>
      </w:r>
    </w:p>
    <w:p w14:paraId="66EB0C54" w14:textId="77777777" w:rsidR="008D4FDF" w:rsidRDefault="008D4FDF">
      <w:pPr>
        <w:spacing w:line="276" w:lineRule="auto"/>
        <w:rPr>
          <w:rFonts w:ascii="Arial" w:eastAsia="Arial" w:hAnsi="Arial" w:cs="Arial"/>
          <w:b/>
          <w:sz w:val="20"/>
          <w:szCs w:val="20"/>
          <w:u w:val="single"/>
        </w:rPr>
      </w:pPr>
    </w:p>
    <w:p w14:paraId="6244DC04" w14:textId="77777777" w:rsidR="008D4FDF" w:rsidRDefault="00BD1DC2">
      <w:pPr>
        <w:spacing w:line="276" w:lineRule="auto"/>
        <w:rPr>
          <w:rFonts w:ascii="Arial" w:eastAsia="Arial" w:hAnsi="Arial" w:cs="Arial"/>
          <w:b/>
          <w:sz w:val="20"/>
          <w:szCs w:val="20"/>
          <w:u w:val="single"/>
        </w:rPr>
      </w:pPr>
      <w:r>
        <w:rPr>
          <w:rFonts w:ascii="Arial" w:eastAsia="Arial" w:hAnsi="Arial" w:cs="Arial"/>
          <w:b/>
          <w:sz w:val="20"/>
          <w:szCs w:val="20"/>
          <w:u w:val="single"/>
        </w:rPr>
        <w:t xml:space="preserve">1. SB23-219 Implementation and Work Plan </w:t>
      </w:r>
    </w:p>
    <w:p w14:paraId="06B96CB5" w14:textId="77777777" w:rsidR="008D4FDF" w:rsidRDefault="00BD1DC2">
      <w:pPr>
        <w:numPr>
          <w:ilvl w:val="0"/>
          <w:numId w:val="5"/>
        </w:numPr>
        <w:spacing w:line="276" w:lineRule="auto"/>
        <w:rPr>
          <w:rFonts w:ascii="Arial" w:eastAsia="Arial" w:hAnsi="Arial" w:cs="Arial"/>
          <w:sz w:val="20"/>
          <w:szCs w:val="20"/>
        </w:rPr>
      </w:pPr>
      <w:r>
        <w:rPr>
          <w:rFonts w:ascii="Arial" w:eastAsia="Arial" w:hAnsi="Arial" w:cs="Arial"/>
          <w:sz w:val="20"/>
          <w:szCs w:val="20"/>
        </w:rPr>
        <w:t>Dillinger RAD provided an update on the work plan and implementation of the recommendations in SB 23-219.</w:t>
      </w:r>
    </w:p>
    <w:p w14:paraId="128C1AC6" w14:textId="77777777" w:rsidR="008D4FDF" w:rsidRDefault="00BD1DC2">
      <w:pPr>
        <w:spacing w:line="276" w:lineRule="auto"/>
        <w:ind w:left="720"/>
        <w:rPr>
          <w:rFonts w:ascii="Arial" w:eastAsia="Arial" w:hAnsi="Arial" w:cs="Arial"/>
          <w:b/>
          <w:sz w:val="20"/>
          <w:szCs w:val="20"/>
          <w:u w:val="single"/>
        </w:rPr>
      </w:pPr>
      <w:r>
        <w:rPr>
          <w:rFonts w:ascii="Arial" w:eastAsia="Arial" w:hAnsi="Arial" w:cs="Arial"/>
          <w:sz w:val="20"/>
          <w:szCs w:val="20"/>
        </w:rPr>
        <w:t xml:space="preserve"> </w:t>
      </w:r>
    </w:p>
    <w:p w14:paraId="23EBC831" w14:textId="77777777" w:rsidR="008D4FDF" w:rsidRDefault="00BD1DC2">
      <w:pPr>
        <w:spacing w:line="276" w:lineRule="auto"/>
        <w:rPr>
          <w:rFonts w:ascii="Arial" w:eastAsia="Arial" w:hAnsi="Arial" w:cs="Arial"/>
          <w:sz w:val="20"/>
          <w:szCs w:val="20"/>
        </w:rPr>
      </w:pPr>
      <w:r>
        <w:rPr>
          <w:rFonts w:ascii="Arial" w:eastAsia="Arial" w:hAnsi="Arial" w:cs="Arial"/>
          <w:b/>
          <w:sz w:val="20"/>
          <w:szCs w:val="20"/>
          <w:u w:val="single"/>
        </w:rPr>
        <w:t>2. Data Snapshot and Break-out Group Discussion on Facility School Staffing and Retention Data</w:t>
      </w:r>
      <w:r>
        <w:rPr>
          <w:rFonts w:ascii="Arial" w:eastAsia="Arial" w:hAnsi="Arial" w:cs="Arial"/>
          <w:sz w:val="20"/>
          <w:szCs w:val="20"/>
        </w:rPr>
        <w:tab/>
      </w:r>
    </w:p>
    <w:p w14:paraId="276BC45D" w14:textId="77777777" w:rsidR="008D4FDF" w:rsidRDefault="00BD1DC2">
      <w:pPr>
        <w:numPr>
          <w:ilvl w:val="0"/>
          <w:numId w:val="2"/>
        </w:numPr>
        <w:spacing w:line="276" w:lineRule="auto"/>
        <w:rPr>
          <w:rFonts w:ascii="Arial" w:eastAsia="Arial" w:hAnsi="Arial" w:cs="Arial"/>
          <w:sz w:val="20"/>
          <w:szCs w:val="20"/>
        </w:rPr>
      </w:pPr>
      <w:r>
        <w:rPr>
          <w:rFonts w:ascii="Arial" w:eastAsia="Arial" w:hAnsi="Arial" w:cs="Arial"/>
          <w:sz w:val="20"/>
          <w:szCs w:val="20"/>
        </w:rPr>
        <w:t>Work Group members reviewed student enrollment data through February</w:t>
      </w:r>
    </w:p>
    <w:p w14:paraId="6C58DEFA" w14:textId="77777777" w:rsidR="008D4FDF" w:rsidRDefault="00BD1DC2">
      <w:pPr>
        <w:numPr>
          <w:ilvl w:val="0"/>
          <w:numId w:val="2"/>
        </w:numPr>
        <w:spacing w:line="276" w:lineRule="auto"/>
        <w:rPr>
          <w:rFonts w:ascii="Arial" w:eastAsia="Arial" w:hAnsi="Arial" w:cs="Arial"/>
          <w:sz w:val="20"/>
          <w:szCs w:val="20"/>
        </w:rPr>
      </w:pPr>
      <w:r>
        <w:rPr>
          <w:rFonts w:ascii="Arial" w:eastAsia="Arial" w:hAnsi="Arial" w:cs="Arial"/>
          <w:sz w:val="20"/>
          <w:szCs w:val="20"/>
        </w:rPr>
        <w:t>Staffing data including retention was presented by Dillinger RAD - the Work Group broke into smaller groups to review, discuss and write down questions and ‘wonderings’ on various data points, charts and graphs.</w:t>
      </w:r>
    </w:p>
    <w:p w14:paraId="286F09B1" w14:textId="77777777" w:rsidR="008D4FDF" w:rsidRDefault="00BD1DC2">
      <w:pPr>
        <w:numPr>
          <w:ilvl w:val="0"/>
          <w:numId w:val="2"/>
        </w:numPr>
        <w:spacing w:line="276" w:lineRule="auto"/>
        <w:rPr>
          <w:rFonts w:ascii="Arial" w:eastAsia="Arial" w:hAnsi="Arial" w:cs="Arial"/>
          <w:sz w:val="20"/>
          <w:szCs w:val="20"/>
        </w:rPr>
      </w:pPr>
      <w:r>
        <w:rPr>
          <w:rFonts w:ascii="Arial" w:eastAsia="Arial" w:hAnsi="Arial" w:cs="Arial"/>
          <w:sz w:val="20"/>
          <w:szCs w:val="20"/>
        </w:rPr>
        <w:t>Dillinger RAD will bring back new findings in May based on the questions and comments from today</w:t>
      </w:r>
    </w:p>
    <w:p w14:paraId="46D3A24B" w14:textId="77777777" w:rsidR="008D4FDF" w:rsidRDefault="008D4FDF">
      <w:pPr>
        <w:spacing w:line="276" w:lineRule="auto"/>
        <w:rPr>
          <w:rFonts w:ascii="Arial" w:eastAsia="Arial" w:hAnsi="Arial" w:cs="Arial"/>
          <w:sz w:val="20"/>
          <w:szCs w:val="20"/>
        </w:rPr>
      </w:pPr>
    </w:p>
    <w:p w14:paraId="4005ECAA" w14:textId="77777777" w:rsidR="008D4FDF" w:rsidRDefault="00BD1DC2">
      <w:pPr>
        <w:spacing w:line="276" w:lineRule="auto"/>
        <w:rPr>
          <w:rFonts w:ascii="Arial" w:eastAsia="Arial" w:hAnsi="Arial" w:cs="Arial"/>
          <w:b/>
          <w:sz w:val="20"/>
          <w:szCs w:val="20"/>
          <w:u w:val="single"/>
        </w:rPr>
      </w:pPr>
      <w:r>
        <w:rPr>
          <w:rFonts w:ascii="Arial" w:eastAsia="Arial" w:hAnsi="Arial" w:cs="Arial"/>
          <w:b/>
          <w:sz w:val="20"/>
          <w:szCs w:val="20"/>
          <w:u w:val="single"/>
        </w:rPr>
        <w:t>6. Work Group Dialogue - Specialized Day Schools and Day Treatment Facilities</w:t>
      </w:r>
    </w:p>
    <w:p w14:paraId="3E55124B" w14:textId="77777777" w:rsidR="008D4FDF" w:rsidRDefault="00BD1DC2">
      <w:pPr>
        <w:numPr>
          <w:ilvl w:val="0"/>
          <w:numId w:val="1"/>
        </w:numPr>
        <w:spacing w:line="276" w:lineRule="auto"/>
        <w:rPr>
          <w:rFonts w:ascii="Arial" w:eastAsia="Arial" w:hAnsi="Arial" w:cs="Arial"/>
          <w:sz w:val="20"/>
          <w:szCs w:val="20"/>
        </w:rPr>
      </w:pPr>
      <w:r>
        <w:rPr>
          <w:rFonts w:ascii="Arial" w:eastAsia="Arial" w:hAnsi="Arial" w:cs="Arial"/>
          <w:sz w:val="20"/>
          <w:szCs w:val="20"/>
        </w:rPr>
        <w:t xml:space="preserve">The ‘work in progress’ graphic of specialized education was revisited, as well as definitions and differences between a day treatment and specialized day school. </w:t>
      </w:r>
    </w:p>
    <w:p w14:paraId="60ABAD99" w14:textId="77777777" w:rsidR="008D4FDF" w:rsidRDefault="00BD1DC2">
      <w:pPr>
        <w:numPr>
          <w:ilvl w:val="0"/>
          <w:numId w:val="1"/>
        </w:numPr>
        <w:spacing w:line="276" w:lineRule="auto"/>
        <w:rPr>
          <w:rFonts w:ascii="Arial" w:eastAsia="Arial" w:hAnsi="Arial" w:cs="Arial"/>
          <w:sz w:val="20"/>
          <w:szCs w:val="20"/>
        </w:rPr>
      </w:pPr>
      <w:r>
        <w:rPr>
          <w:rFonts w:ascii="Arial" w:eastAsia="Arial" w:hAnsi="Arial" w:cs="Arial"/>
          <w:sz w:val="20"/>
          <w:szCs w:val="20"/>
        </w:rPr>
        <w:t>Work Group  members engaged in dialogue regarding what distinguishes each from the other to clarify collective understanding and raise new thoughts.  The desire to have publicly available information on this topic was also discussed after the dialogue.</w:t>
      </w:r>
    </w:p>
    <w:p w14:paraId="352FA511" w14:textId="77777777" w:rsidR="008D4FDF" w:rsidRDefault="008D4FDF">
      <w:pPr>
        <w:numPr>
          <w:ilvl w:val="0"/>
          <w:numId w:val="1"/>
        </w:numPr>
        <w:spacing w:line="276" w:lineRule="auto"/>
        <w:rPr>
          <w:rFonts w:ascii="Arial" w:eastAsia="Arial" w:hAnsi="Arial" w:cs="Arial"/>
          <w:sz w:val="20"/>
          <w:szCs w:val="20"/>
        </w:rPr>
      </w:pPr>
    </w:p>
    <w:p w14:paraId="7FDC58E2" w14:textId="77777777" w:rsidR="008D4FDF" w:rsidRDefault="00BD1DC2">
      <w:pPr>
        <w:spacing w:line="276" w:lineRule="auto"/>
        <w:rPr>
          <w:rFonts w:ascii="Arial" w:eastAsia="Arial" w:hAnsi="Arial" w:cs="Arial"/>
          <w:sz w:val="20"/>
          <w:szCs w:val="20"/>
        </w:rPr>
      </w:pPr>
      <w:r>
        <w:rPr>
          <w:rFonts w:ascii="Arial" w:eastAsia="Arial" w:hAnsi="Arial" w:cs="Arial"/>
          <w:b/>
          <w:sz w:val="20"/>
          <w:szCs w:val="20"/>
          <w:u w:val="single"/>
        </w:rPr>
        <w:t xml:space="preserve">3. Third Party Evaluation Contract - Review of Three Anonymous Candidates </w:t>
      </w:r>
    </w:p>
    <w:p w14:paraId="434AE2E4" w14:textId="77777777" w:rsidR="008D4FDF" w:rsidRDefault="00BD1DC2">
      <w:pPr>
        <w:numPr>
          <w:ilvl w:val="0"/>
          <w:numId w:val="3"/>
        </w:numPr>
        <w:spacing w:line="276" w:lineRule="auto"/>
        <w:rPr>
          <w:rFonts w:ascii="Arial" w:eastAsia="Arial" w:hAnsi="Arial" w:cs="Arial"/>
          <w:sz w:val="20"/>
          <w:szCs w:val="20"/>
        </w:rPr>
      </w:pPr>
      <w:r>
        <w:rPr>
          <w:rFonts w:ascii="Arial" w:eastAsia="Arial" w:hAnsi="Arial" w:cs="Arial"/>
          <w:sz w:val="20"/>
          <w:szCs w:val="20"/>
        </w:rPr>
        <w:t>Feedback was solicited on the proposals for the third party evaluation using the checklist provided</w:t>
      </w:r>
    </w:p>
    <w:p w14:paraId="2AEF2A5C" w14:textId="77777777" w:rsidR="008D4FDF" w:rsidRDefault="008D4FDF">
      <w:pPr>
        <w:spacing w:line="276" w:lineRule="auto"/>
        <w:rPr>
          <w:rFonts w:ascii="Arial" w:eastAsia="Arial" w:hAnsi="Arial" w:cs="Arial"/>
          <w:b/>
          <w:sz w:val="20"/>
          <w:szCs w:val="20"/>
          <w:u w:val="single"/>
        </w:rPr>
      </w:pPr>
    </w:p>
    <w:p w14:paraId="3438C39F" w14:textId="77777777" w:rsidR="008D4FDF" w:rsidRDefault="00BD1DC2">
      <w:pPr>
        <w:spacing w:line="276" w:lineRule="auto"/>
        <w:rPr>
          <w:rFonts w:ascii="Arial" w:eastAsia="Arial" w:hAnsi="Arial" w:cs="Arial"/>
          <w:b/>
          <w:sz w:val="20"/>
          <w:szCs w:val="20"/>
          <w:u w:val="single"/>
        </w:rPr>
      </w:pPr>
      <w:r>
        <w:rPr>
          <w:rFonts w:ascii="Arial" w:eastAsia="Arial" w:hAnsi="Arial" w:cs="Arial"/>
          <w:b/>
          <w:sz w:val="20"/>
          <w:szCs w:val="20"/>
          <w:u w:val="single"/>
        </w:rPr>
        <w:t xml:space="preserve">4. Technical Assistance Center Update </w:t>
      </w:r>
    </w:p>
    <w:p w14:paraId="00B56715" w14:textId="77777777" w:rsidR="008D4FDF" w:rsidRDefault="00BD1DC2">
      <w:pPr>
        <w:numPr>
          <w:ilvl w:val="0"/>
          <w:numId w:val="6"/>
        </w:numPr>
        <w:spacing w:line="276" w:lineRule="auto"/>
        <w:rPr>
          <w:rFonts w:ascii="Arial" w:eastAsia="Arial" w:hAnsi="Arial" w:cs="Arial"/>
          <w:sz w:val="20"/>
          <w:szCs w:val="20"/>
        </w:rPr>
      </w:pPr>
      <w:r>
        <w:rPr>
          <w:rFonts w:ascii="Arial" w:eastAsia="Arial" w:hAnsi="Arial" w:cs="Arial"/>
          <w:sz w:val="20"/>
          <w:szCs w:val="20"/>
        </w:rPr>
        <w:t xml:space="preserve">The TAC coordinator updated the group on the HUB and the addition of school district representation at the next meeting </w:t>
      </w:r>
    </w:p>
    <w:p w14:paraId="4A404C92" w14:textId="77777777" w:rsidR="008D4FDF" w:rsidRDefault="008D4FDF">
      <w:pPr>
        <w:spacing w:line="276" w:lineRule="auto"/>
        <w:rPr>
          <w:rFonts w:ascii="Arial" w:eastAsia="Arial" w:hAnsi="Arial" w:cs="Arial"/>
          <w:b/>
          <w:sz w:val="20"/>
          <w:szCs w:val="20"/>
          <w:u w:val="single"/>
        </w:rPr>
      </w:pPr>
    </w:p>
    <w:p w14:paraId="1FC662DF" w14:textId="77777777" w:rsidR="008D4FDF" w:rsidRDefault="00BD1DC2">
      <w:pPr>
        <w:spacing w:line="276" w:lineRule="auto"/>
        <w:rPr>
          <w:rFonts w:ascii="Arial" w:eastAsia="Arial" w:hAnsi="Arial" w:cs="Arial"/>
          <w:b/>
          <w:sz w:val="20"/>
          <w:szCs w:val="20"/>
        </w:rPr>
      </w:pPr>
      <w:r>
        <w:rPr>
          <w:rFonts w:ascii="Arial" w:eastAsia="Arial" w:hAnsi="Arial" w:cs="Arial"/>
          <w:b/>
          <w:sz w:val="20"/>
          <w:szCs w:val="20"/>
        </w:rPr>
        <w:t>Next Steps - Reminder of upcoming Work Group meetings:</w:t>
      </w:r>
    </w:p>
    <w:p w14:paraId="18CBBE2F" w14:textId="77777777" w:rsidR="008D4FDF" w:rsidRDefault="00BD1DC2">
      <w:pPr>
        <w:numPr>
          <w:ilvl w:val="0"/>
          <w:numId w:val="4"/>
        </w:numPr>
        <w:spacing w:line="276" w:lineRule="auto"/>
        <w:rPr>
          <w:rFonts w:ascii="Arial" w:eastAsia="Arial" w:hAnsi="Arial" w:cs="Arial"/>
          <w:sz w:val="20"/>
          <w:szCs w:val="20"/>
        </w:rPr>
      </w:pPr>
      <w:r>
        <w:rPr>
          <w:rFonts w:ascii="Arial" w:eastAsia="Arial" w:hAnsi="Arial" w:cs="Arial"/>
          <w:sz w:val="20"/>
          <w:szCs w:val="20"/>
        </w:rPr>
        <w:t>Next meeting dates:  Friday, May 2, 2025</w:t>
      </w:r>
    </w:p>
    <w:p w14:paraId="5B4BDB40" w14:textId="77777777" w:rsidR="008D4FDF" w:rsidRDefault="00BD1DC2">
      <w:pPr>
        <w:spacing w:line="276" w:lineRule="auto"/>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Thursday, June 5, 2025</w:t>
      </w:r>
    </w:p>
    <w:p w14:paraId="08271FB6" w14:textId="77777777" w:rsidR="008D4FDF" w:rsidRDefault="00BD1DC2">
      <w:pPr>
        <w:spacing w:line="276" w:lineRule="auto"/>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p>
    <w:p w14:paraId="5FF84D73" w14:textId="77777777" w:rsidR="008D4FDF" w:rsidRDefault="00BD1DC2">
      <w:pPr>
        <w:spacing w:line="276" w:lineRule="auto"/>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p>
    <w:p w14:paraId="53C027CB" w14:textId="77777777" w:rsidR="008D4FDF" w:rsidRDefault="00BD1DC2">
      <w:pPr>
        <w:spacing w:line="276" w:lineRule="auto"/>
        <w:rPr>
          <w:rFonts w:ascii="Arial" w:eastAsia="Arial" w:hAnsi="Arial" w:cs="Arial"/>
          <w:b/>
          <w:sz w:val="20"/>
          <w:szCs w:val="20"/>
        </w:rPr>
      </w:pPr>
      <w:hyperlink r:id="rId9">
        <w:r>
          <w:rPr>
            <w:rFonts w:ascii="Arial" w:eastAsia="Arial" w:hAnsi="Arial" w:cs="Arial"/>
            <w:b/>
            <w:color w:val="1155CC"/>
            <w:sz w:val="20"/>
            <w:szCs w:val="20"/>
            <w:u w:val="single"/>
          </w:rPr>
          <w:t>Shared work group member folder for meeting notes, reports, etc.</w:t>
        </w:r>
      </w:hyperlink>
    </w:p>
    <w:sectPr w:rsidR="008D4FDF">
      <w:footerReference w:type="even"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1B5CB" w14:textId="77777777" w:rsidR="00BD1DC2" w:rsidRDefault="00BD1DC2">
      <w:r>
        <w:separator/>
      </w:r>
    </w:p>
  </w:endnote>
  <w:endnote w:type="continuationSeparator" w:id="0">
    <w:p w14:paraId="014C983A" w14:textId="77777777" w:rsidR="00BD1DC2" w:rsidRDefault="00BD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1F72" w14:textId="77777777" w:rsidR="008D4FDF" w:rsidRDefault="00BD1DC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BEB1D1F" w14:textId="77777777" w:rsidR="008D4FDF" w:rsidRDefault="008D4FDF">
    <w:pPr>
      <w:pBdr>
        <w:top w:val="nil"/>
        <w:left w:val="nil"/>
        <w:bottom w:val="nil"/>
        <w:right w:val="nil"/>
        <w:between w:val="nil"/>
      </w:pBdr>
      <w:tabs>
        <w:tab w:val="center" w:pos="4680"/>
        <w:tab w:val="right" w:pos="9360"/>
      </w:tabs>
      <w:ind w:right="360"/>
      <w:jc w:val="center"/>
      <w:rPr>
        <w:color w:val="000000"/>
      </w:rPr>
    </w:pPr>
  </w:p>
  <w:p w14:paraId="65C91DC1" w14:textId="77777777" w:rsidR="008D4FDF" w:rsidRDefault="008D4FD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C7BAC" w14:textId="77777777" w:rsidR="00BD1DC2" w:rsidRDefault="00BD1DC2">
      <w:r>
        <w:separator/>
      </w:r>
    </w:p>
  </w:footnote>
  <w:footnote w:type="continuationSeparator" w:id="0">
    <w:p w14:paraId="70C709B8" w14:textId="77777777" w:rsidR="00BD1DC2" w:rsidRDefault="00BD1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E0BC8"/>
    <w:multiLevelType w:val="multilevel"/>
    <w:tmpl w:val="6CCE7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8A7971"/>
    <w:multiLevelType w:val="multilevel"/>
    <w:tmpl w:val="88F22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916FBE"/>
    <w:multiLevelType w:val="multilevel"/>
    <w:tmpl w:val="4C420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133CC0"/>
    <w:multiLevelType w:val="multilevel"/>
    <w:tmpl w:val="C708F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5023E5"/>
    <w:multiLevelType w:val="multilevel"/>
    <w:tmpl w:val="A620C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234A77"/>
    <w:multiLevelType w:val="multilevel"/>
    <w:tmpl w:val="03042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516122">
    <w:abstractNumId w:val="5"/>
  </w:num>
  <w:num w:numId="2" w16cid:durableId="937516984">
    <w:abstractNumId w:val="1"/>
  </w:num>
  <w:num w:numId="3" w16cid:durableId="38675396">
    <w:abstractNumId w:val="2"/>
  </w:num>
  <w:num w:numId="4" w16cid:durableId="789979921">
    <w:abstractNumId w:val="3"/>
  </w:num>
  <w:num w:numId="5" w16cid:durableId="527374770">
    <w:abstractNumId w:val="4"/>
  </w:num>
  <w:num w:numId="6" w16cid:durableId="1311053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FDF"/>
    <w:rsid w:val="00895B1A"/>
    <w:rsid w:val="008D4FDF"/>
    <w:rsid w:val="00BD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434F"/>
  <w15:docId w15:val="{E26F2D32-D650-453A-A1CD-18A39B7C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drive/folders/1IkfGjJ3uPxZtEAqBvdtH_o0RiIgxY08k?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L59idOkGs3h22iG1wHKBc3cReg==">CgMxLjA4AHIhMWxPVEVNNXVRMlYyQkRkRDNMTTh3bWp4OEs1T1ZIZXlO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2137</Characters>
  <Application>Microsoft Office Word</Application>
  <DocSecurity>4</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Serrato, Darren</dc:creator>
  <cp:lastModifiedBy>Serrato, Darren</cp:lastModifiedBy>
  <cp:revision>2</cp:revision>
  <dcterms:created xsi:type="dcterms:W3CDTF">2025-04-08T20:34:00Z</dcterms:created>
  <dcterms:modified xsi:type="dcterms:W3CDTF">2025-04-08T20:34:00Z</dcterms:modified>
</cp:coreProperties>
</file>